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DD21" w14:textId="77777777" w:rsidR="00521DA4" w:rsidRDefault="00521DA4" w:rsidP="0052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L.S.S. J.F. Kennedy</w:t>
      </w:r>
    </w:p>
    <w:p w14:paraId="17A102FF" w14:textId="77777777" w:rsidR="00521DA4" w:rsidRDefault="00521DA4" w:rsidP="0052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 di lingua e letteratura italiana</w:t>
      </w:r>
    </w:p>
    <w:p w14:paraId="16FCB978" w14:textId="1F6C4949" w:rsidR="00521DA4" w:rsidRDefault="00521DA4" w:rsidP="0052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1 </w:t>
      </w:r>
      <w:r w:rsidR="003D129C">
        <w:rPr>
          <w:rFonts w:ascii="Times New Roman" w:hAnsi="Times New Roman" w:cs="Times New Roman"/>
          <w:sz w:val="28"/>
          <w:szCs w:val="28"/>
        </w:rPr>
        <w:t>H</w:t>
      </w:r>
    </w:p>
    <w:p w14:paraId="7863F959" w14:textId="77777777" w:rsidR="00521DA4" w:rsidRDefault="00521DA4" w:rsidP="0052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a.s. 2019/2020</w:t>
      </w:r>
    </w:p>
    <w:p w14:paraId="2E61B37C" w14:textId="77777777" w:rsidR="00521DA4" w:rsidRDefault="00521DA4" w:rsidP="0052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Cecilia Manieri</w:t>
      </w:r>
    </w:p>
    <w:p w14:paraId="752F621A" w14:textId="77777777" w:rsidR="00521DA4" w:rsidRDefault="00521DA4" w:rsidP="00521D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37948" w14:textId="77777777" w:rsidR="00521DA4" w:rsidRPr="0043511E" w:rsidRDefault="00521DA4" w:rsidP="00521D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11E">
        <w:rPr>
          <w:rFonts w:ascii="Times New Roman" w:hAnsi="Times New Roman" w:cs="Times New Roman"/>
          <w:b/>
          <w:bCs/>
          <w:sz w:val="28"/>
          <w:szCs w:val="28"/>
        </w:rPr>
        <w:t>Grammatica</w:t>
      </w:r>
    </w:p>
    <w:p w14:paraId="0CE0801F" w14:textId="77777777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Suoni e lettere: l’alfabeto italiano, fonemi e grafemi, vocali e consonanti, sillabe, accento, apostrofo, ortografia, punteggiatura, maiuscole e minuscole.</w:t>
      </w:r>
    </w:p>
    <w:p w14:paraId="1B9FEB3F" w14:textId="77777777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Lessico: segno e significato. Denotazione e connotazione, sinonimìa, antonimìa, polisemia, iperonimìa, iponimìa, omonimìa, lessico di base e altri lessici, parole ereditarie, latinismi, prestiti, regionalismi, neologismi, tecnicismi, gergalismi. La struttura delle parole: radice e desinenza, parole primitive, derivazione, composizione. </w:t>
      </w:r>
    </w:p>
    <w:p w14:paraId="61109C63" w14:textId="00C85595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Verbi: verbi transitivi e intransitivi, verbi personali e impersonali, verbi predicativi e copulativi. Persona, modo, tempo, aspetto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del verbo. Forma attiva, passiva, riflessiva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Forme riflessive e pronominali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4C6D43" w14:textId="77777777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Durante l’anno sono stati fatti continuamente riferimenti all’analisi logica della frase, tuttavia l’argomento non è stato trattato in forma autonoma e approfondita.</w:t>
      </w:r>
    </w:p>
    <w:p w14:paraId="7008815F" w14:textId="77777777" w:rsidR="00521DA4" w:rsidRDefault="00521DA4" w:rsidP="00521D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1B8">
        <w:rPr>
          <w:rFonts w:ascii="Times New Roman" w:hAnsi="Times New Roman" w:cs="Times New Roman"/>
          <w:b/>
          <w:bCs/>
          <w:sz w:val="28"/>
          <w:szCs w:val="28"/>
        </w:rPr>
        <w:t>Narra</w:t>
      </w:r>
      <w:r>
        <w:rPr>
          <w:rFonts w:ascii="Times New Roman" w:hAnsi="Times New Roman" w:cs="Times New Roman"/>
          <w:b/>
          <w:bCs/>
          <w:sz w:val="28"/>
          <w:szCs w:val="28"/>
        </w:rPr>
        <w:t>tiva</w:t>
      </w:r>
    </w:p>
    <w:p w14:paraId="11581825" w14:textId="1B4A80A4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struttura del racconto e il concetto di sequenza, le tipologie di sequenze, la fabula e l’intreccio, il flashback e la prolessi, lo schema dei mutamenti, l’incipit e l’epilogo. Il sistema dei personaggi, lo spazio e il tempo. L’autore, il narratore e la focalizzazione. Le scelte linguistiche e stilistiche</w:t>
      </w:r>
      <w:r w:rsidR="001B323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I registri linguistici</w:t>
      </w:r>
      <w:r w:rsidR="001B323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Temi, motivi e messaggi</w:t>
      </w:r>
      <w:r w:rsidR="001B323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2F604" w14:textId="77777777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Brani letti: </w:t>
      </w:r>
    </w:p>
    <w:p w14:paraId="35C4E899" w14:textId="1435DC69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F.W. Brown, “Incubo in giallo”; I. Calvino, “Funghi in città”; A. Moravia, “Il tacchino di Natale”; C. Perrault, “Cappuccetto rosso”; A. P. Čechov, “Il grasso e il magro”; </w:t>
      </w:r>
      <w:r w:rsidRPr="00E80E3C">
        <w:rPr>
          <w:rFonts w:ascii="Times New Roman" w:hAnsi="Times New Roman" w:cs="Times New Roman"/>
          <w:sz w:val="28"/>
          <w:szCs w:val="28"/>
        </w:rPr>
        <w:t>G. De Maupassant "Il ritorno</w:t>
      </w:r>
      <w:r>
        <w:rPr>
          <w:rFonts w:ascii="Times New Roman" w:hAnsi="Times New Roman" w:cs="Times New Roman"/>
          <w:sz w:val="28"/>
          <w:szCs w:val="28"/>
        </w:rPr>
        <w:t>”; R. Bradbury “Novembre 2005. Tutti a guardare”; G. Boccaccio, “Calandrino e l’elitropia</w:t>
      </w:r>
      <w:r w:rsidR="00A76682">
        <w:rPr>
          <w:rFonts w:ascii="Times New Roman" w:hAnsi="Times New Roman" w:cs="Times New Roman"/>
          <w:sz w:val="28"/>
          <w:szCs w:val="28"/>
        </w:rPr>
        <w:t xml:space="preserve">”, “Lisabetta da </w:t>
      </w:r>
      <w:proofErr w:type="gramStart"/>
      <w:r w:rsidR="00A76682">
        <w:rPr>
          <w:rFonts w:ascii="Times New Roman" w:hAnsi="Times New Roman" w:cs="Times New Roman"/>
          <w:sz w:val="28"/>
          <w:szCs w:val="28"/>
        </w:rPr>
        <w:t>Messina”</w:t>
      </w:r>
      <w:r w:rsidR="001B323A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A7668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E. Flaiano “L’aspirante attore”</w:t>
      </w:r>
      <w:r w:rsidR="003D12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BF3D9" w14:textId="77777777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6A37F" w14:textId="77777777" w:rsidR="00521DA4" w:rsidRDefault="00521DA4" w:rsidP="00521DA4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9B2CE9" w14:textId="77777777" w:rsidR="00521DA4" w:rsidRDefault="00521DA4" w:rsidP="00521D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A8C">
        <w:rPr>
          <w:rFonts w:ascii="Times New Roman" w:hAnsi="Times New Roman" w:cs="Times New Roman"/>
          <w:b/>
          <w:bCs/>
          <w:sz w:val="28"/>
          <w:szCs w:val="28"/>
        </w:rPr>
        <w:lastRenderedPageBreak/>
        <w:t>Epica</w:t>
      </w:r>
    </w:p>
    <w:p w14:paraId="21169E2B" w14:textId="687F3E76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poesia epica. Le figure retoriche. L’epica del Vicino Oriente. “L’Epopea di Gilgamesh”, lettura del “Prologo</w:t>
      </w:r>
      <w:r w:rsidR="00EC5581">
        <w:rPr>
          <w:rFonts w:ascii="Times New Roman" w:hAnsi="Times New Roman" w:cs="Times New Roman"/>
          <w:sz w:val="28"/>
          <w:szCs w:val="28"/>
        </w:rPr>
        <w:t xml:space="preserve">”; </w:t>
      </w:r>
      <w:r>
        <w:rPr>
          <w:rFonts w:ascii="Times New Roman" w:hAnsi="Times New Roman" w:cs="Times New Roman"/>
          <w:sz w:val="28"/>
          <w:szCs w:val="28"/>
        </w:rPr>
        <w:t xml:space="preserve">I caratteri dell’epica greca. La questione omerica. “L’Iliade” lettura del “Proemio” e dei seguenti brani: “La contesa tra Achille e Agamennone”, “Ettore e Andromaca”, “La morte di </w:t>
      </w:r>
      <w:proofErr w:type="gramStart"/>
      <w:r>
        <w:rPr>
          <w:rFonts w:ascii="Times New Roman" w:hAnsi="Times New Roman" w:cs="Times New Roman"/>
          <w:sz w:val="28"/>
          <w:szCs w:val="28"/>
        </w:rPr>
        <w:t>Ettore”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>. “L’Odissea”, lettura del “</w:t>
      </w:r>
      <w:proofErr w:type="gramStart"/>
      <w:r>
        <w:rPr>
          <w:rFonts w:ascii="Times New Roman" w:hAnsi="Times New Roman" w:cs="Times New Roman"/>
          <w:sz w:val="28"/>
          <w:szCs w:val="28"/>
        </w:rPr>
        <w:t>Proemio”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>. “L’Eneide” e il rapporto tra Virgilio e il potere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Lettura del “</w:t>
      </w:r>
      <w:proofErr w:type="gramStart"/>
      <w:r>
        <w:rPr>
          <w:rFonts w:ascii="Times New Roman" w:hAnsi="Times New Roman" w:cs="Times New Roman"/>
          <w:sz w:val="28"/>
          <w:szCs w:val="28"/>
        </w:rPr>
        <w:t>Proemio”</w:t>
      </w:r>
      <w:r w:rsidR="003C5D27"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BBEA1F2" w14:textId="77777777" w:rsidR="00521DA4" w:rsidRDefault="00521DA4" w:rsidP="00521D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577">
        <w:rPr>
          <w:rFonts w:ascii="Times New Roman" w:hAnsi="Times New Roman" w:cs="Times New Roman"/>
          <w:b/>
          <w:bCs/>
          <w:sz w:val="28"/>
          <w:szCs w:val="28"/>
        </w:rPr>
        <w:t xml:space="preserve">Scrittura </w:t>
      </w:r>
      <w:r>
        <w:rPr>
          <w:rFonts w:ascii="Times New Roman" w:hAnsi="Times New Roman" w:cs="Times New Roman"/>
          <w:b/>
          <w:bCs/>
          <w:sz w:val="28"/>
          <w:szCs w:val="28"/>
        </w:rPr>
        <w:t>e lettura</w:t>
      </w:r>
    </w:p>
    <w:p w14:paraId="5B57C84F" w14:textId="4B9FFB1A" w:rsidR="00521DA4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catena testuale. La coerenza e la coesione testuale</w:t>
      </w:r>
      <w:r w:rsidR="004E505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La tecnica del riassunto. Analisi dei libri letti durante le vacanze natalizie e pasquali. Scheda – libro</w:t>
      </w:r>
      <w:r w:rsidR="00982A7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AC613B" w14:textId="77777777" w:rsidR="00521DA4" w:rsidRPr="009F3577" w:rsidRDefault="00521DA4" w:rsidP="00521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DEB84" w14:textId="5DAC05EA" w:rsidR="001B323A" w:rsidRDefault="001B323A" w:rsidP="001B32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*Gli argomenti segnati con asterisco sono stati trattati durante la DaD</w:t>
      </w:r>
    </w:p>
    <w:p w14:paraId="2B6BBFD2" w14:textId="5FAA9EA6" w:rsidR="0053519E" w:rsidRDefault="0053519E" w:rsidP="001B32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24A70B" w14:textId="0C74FB18" w:rsidR="00BB77A6" w:rsidRDefault="00BB77A6" w:rsidP="00BB77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Compiti per le vacanze:</w:t>
      </w:r>
    </w:p>
    <w:p w14:paraId="7ED181DC" w14:textId="7A249F84" w:rsidR="00E6190C" w:rsidRDefault="00E6190C" w:rsidP="00BB7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Grammatica: </w:t>
      </w:r>
      <w:r w:rsidRPr="00E6190C">
        <w:rPr>
          <w:rFonts w:ascii="Times New Roman" w:hAnsi="Times New Roman" w:cs="Times New Roman"/>
          <w:sz w:val="28"/>
          <w:szCs w:val="28"/>
        </w:rPr>
        <w:t>es 43, 46 pp. 42, 43; es 53, 60 pp. 49, 51; es 77 p. 55; allenamento invalsi p. 62 (tutti gli esrcizi); es 20, 26, 27 pp. 76 - 78; es 50, 52 p. 92; es 10, 19 pp. 119, 121, es 30 p. 123, es 63 p. 137; es 3, 4 p. 319; es 13 p. 321, es 146 p. 397; es 3 p. 403; es 4, 5 , p. 404; es 48 p. 338; es 8 p. 405.</w:t>
      </w:r>
    </w:p>
    <w:p w14:paraId="6A088635" w14:textId="56F3F66F" w:rsidR="00E6190C" w:rsidRPr="00E6190C" w:rsidRDefault="008D4C9E" w:rsidP="00BB77A6">
      <w:pPr>
        <w:jc w:val="both"/>
        <w:rPr>
          <w:rFonts w:ascii="Times New Roman" w:hAnsi="Times New Roman" w:cs="Times New Roman"/>
          <w:sz w:val="28"/>
          <w:szCs w:val="28"/>
        </w:rPr>
      </w:pPr>
      <w:r w:rsidRPr="008D4C9E">
        <w:rPr>
          <w:rFonts w:ascii="Times New Roman" w:hAnsi="Times New Roman" w:cs="Times New Roman"/>
          <w:sz w:val="28"/>
          <w:szCs w:val="28"/>
        </w:rPr>
        <w:t>Leggere due tra i seguenti LIBRI: William Golding, "Il signore delle mosche", qualunque edizione; Italo Calvino, "Il sentiero dei nidi di ragno", qualunque edizione; Hermann Hesse, "Il lupo della steppa", qualunque edizione; Agatha Christie," L'assassinio di Roger Ackroyd", qualunque edizione.</w:t>
      </w:r>
    </w:p>
    <w:p w14:paraId="5B0A9ED5" w14:textId="77777777" w:rsidR="004605E8" w:rsidRDefault="004605E8"/>
    <w:sectPr w:rsidR="00460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66"/>
    <w:rsid w:val="0000361A"/>
    <w:rsid w:val="001B323A"/>
    <w:rsid w:val="003B27F7"/>
    <w:rsid w:val="003C5D27"/>
    <w:rsid w:val="003D129C"/>
    <w:rsid w:val="004605E8"/>
    <w:rsid w:val="004E505B"/>
    <w:rsid w:val="00521DA4"/>
    <w:rsid w:val="0053519E"/>
    <w:rsid w:val="007B5666"/>
    <w:rsid w:val="008D4C9E"/>
    <w:rsid w:val="00982A77"/>
    <w:rsid w:val="00A76682"/>
    <w:rsid w:val="00BB77A6"/>
    <w:rsid w:val="00CC5E04"/>
    <w:rsid w:val="00E00A7C"/>
    <w:rsid w:val="00E6190C"/>
    <w:rsid w:val="00E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2067"/>
  <w15:chartTrackingRefBased/>
  <w15:docId w15:val="{2150ACEC-6E1B-471B-9895-529C9C84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DA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18</cp:revision>
  <dcterms:created xsi:type="dcterms:W3CDTF">2020-06-18T15:38:00Z</dcterms:created>
  <dcterms:modified xsi:type="dcterms:W3CDTF">2020-07-09T11:34:00Z</dcterms:modified>
</cp:coreProperties>
</file>