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pple Chancery" w:hAnsi="Apple Chancery" w:cs="Apple Chancery"/>
          <w:sz w:val="44"/>
          <w:szCs w:val="44"/>
        </w:rPr>
      </w:pPr>
      <w:r>
        <w:rPr>
          <w:rFonts w:cs="Apple Chancery" w:ascii="Apple Chancery" w:hAnsi="Apple Chancery"/>
          <w:sz w:val="44"/>
          <w:szCs w:val="44"/>
        </w:rPr>
        <w:t xml:space="preserve">           </w:t>
      </w:r>
    </w:p>
    <w:p>
      <w:pPr>
        <w:pStyle w:val="Normal"/>
        <w:ind w:left="-426" w:right="-720" w:hanging="283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pple Chancery" w:hAnsi="Apple Chancery"/>
          <w:sz w:val="32"/>
          <w:szCs w:val="32"/>
        </w:rPr>
        <w:t xml:space="preserve">    </w:t>
      </w:r>
    </w:p>
    <w:p>
      <w:pPr>
        <w:pStyle w:val="Normal"/>
        <w:ind w:left="-426" w:right="-720" w:hanging="283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pple Chancery" w:hAnsi="Apple Chancery"/>
          <w:sz w:val="32"/>
          <w:szCs w:val="32"/>
        </w:rPr>
        <w:t xml:space="preserve">                                                         </w:t>
      </w:r>
      <w:r>
        <w:rPr>
          <w:rFonts w:cs="Apple Chancery" w:ascii="Arial" w:hAnsi="Arial"/>
          <w:sz w:val="30"/>
          <w:szCs w:val="30"/>
          <w:lang w:val="en-US"/>
        </w:rPr>
        <w:t>Programma di Lingua e Cultura Inglese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rial" w:hAnsi="Arial"/>
          <w:sz w:val="30"/>
          <w:szCs w:val="30"/>
          <w:lang w:val="en-US"/>
        </w:rPr>
        <w:t>a. s. 2019/2020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rial" w:hAnsi="Arial"/>
          <w:sz w:val="30"/>
          <w:szCs w:val="30"/>
          <w:lang w:val="en-US"/>
        </w:rPr>
        <w:t>Classe 3</w:t>
      </w:r>
      <w:r>
        <w:rPr>
          <w:rFonts w:cs="Apple Chancery" w:ascii="Arial" w:hAnsi="Arial"/>
          <w:sz w:val="30"/>
          <w:szCs w:val="30"/>
          <w:lang w:val="en-US"/>
        </w:rPr>
        <w:t>C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rial" w:hAnsi="Arial"/>
          <w:sz w:val="30"/>
          <w:szCs w:val="30"/>
          <w:lang w:val="en-US"/>
        </w:rPr>
        <w:t>Prof.ssa Anna Maria Barone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pple Chancery" w:hAnsi="Apple Chancery"/>
          <w:sz w:val="32"/>
          <w:szCs w:val="32"/>
        </w:rPr>
      </w:r>
    </w:p>
    <w:p>
      <w:pPr>
        <w:pStyle w:val="Normal"/>
        <w:rPr>
          <w:rFonts w:ascii="Apple Chancery" w:hAnsi="Apple Chancery" w:cs="Apple Chancery"/>
          <w:sz w:val="32"/>
          <w:szCs w:val="32"/>
          <w:lang w:val="en-US"/>
        </w:rPr>
      </w:pPr>
      <w:r>
        <w:rPr>
          <w:rFonts w:cs="Apple Chancery" w:ascii="Arial" w:hAnsi="Arial"/>
          <w:sz w:val="24"/>
          <w:szCs w:val="24"/>
          <w:u w:val="single"/>
          <w:lang w:val="en-US"/>
        </w:rPr>
        <w:t>Dal testo “ Language for Life ” ed. Oxford:</w:t>
      </w:r>
    </w:p>
    <w:p>
      <w:pPr>
        <w:pStyle w:val="Normal"/>
        <w:rPr>
          <w:rFonts w:ascii="Apple Chancery" w:hAnsi="Apple Chancery" w:cs="Apple Chancery"/>
          <w:sz w:val="32"/>
          <w:szCs w:val="32"/>
          <w:lang w:val="en-US"/>
        </w:rPr>
      </w:pPr>
      <w:r>
        <w:rPr>
          <w:rFonts w:cs="Apple Chancery" w:ascii="Apple Chancery" w:hAnsi="Apple Chancery"/>
          <w:sz w:val="32"/>
          <w:szCs w:val="32"/>
          <w:lang w:val="en-US"/>
        </w:rPr>
      </w:r>
    </w:p>
    <w:tbl>
      <w:tblPr>
        <w:tblW w:w="11890" w:type="dxa"/>
        <w:jc w:val="left"/>
        <w:tblInd w:w="-58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0" w:lastColumn="0" w:noHBand="0" w:val="0020"/>
      </w:tblPr>
      <w:tblGrid>
        <w:gridCol w:w="1265"/>
        <w:gridCol w:w="2469"/>
        <w:gridCol w:w="1641"/>
        <w:gridCol w:w="2213"/>
        <w:gridCol w:w="2198"/>
        <w:gridCol w:w="2103"/>
      </w:tblGrid>
      <w:tr>
        <w:trPr>
          <w:trHeight w:val="371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Unit</w:t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Grammar</w:t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Vocabulary</w:t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Reading  &amp; Listening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tabs>
                <w:tab w:val="clear" w:pos="720"/>
                <w:tab w:val="left" w:pos="465" w:leader="none"/>
              </w:tabs>
              <w:spacing w:before="40" w:after="40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Speaking &amp; Writing</w:t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Post-industry</w:t>
            </w:r>
          </w:p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One/ones.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Get/have : causative uses.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Active &amp; Passive verb forms.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Industry.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Verbs from adj./nouns.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The sharing economy.</w:t>
            </w:r>
          </w:p>
        </w:tc>
        <w:tc>
          <w:tcPr>
            <w:tcW w:w="2213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Reading:The last phone you’ll ever need.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Listening:The sharing economy.</w:t>
            </w:r>
          </w:p>
        </w:tc>
        <w:tc>
          <w:tcPr>
            <w:tcW w:w="2198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Speaking: giving instructions.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Writing: check &amp; revise your writing.</w:t>
            </w:r>
          </w:p>
        </w:tc>
        <w:tc>
          <w:tcPr>
            <w:tcW w:w="2103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201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  <w:p>
            <w:pPr>
              <w:pStyle w:val="Dates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Two Sides</w:t>
            </w:r>
          </w:p>
          <w:p>
            <w:pPr>
              <w:pStyle w:val="Dates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Let/make:causative uses.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Addition &amp; contrast: review.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Reported Speech with/without tense change.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Reported questions &amp; imperatives.</w:t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Journalism.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Nouns from verbs.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Media influence.</w:t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Reading: Are you getting both sides of the story?</w:t>
              <w:br/>
              <w:t>Listening: Clickbait.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Video: Two sides of the same story.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Speaking: Presentation-synthesise viewpoints.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Writing: Avoid plagiarism.</w:t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149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Dal 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Marzo in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modalità DAD con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2 ore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settimanali: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 9</w:t>
            </w:r>
          </w:p>
          <w:p>
            <w:pPr>
              <w:pStyle w:val="TableText"/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Getting along</w:t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So/such...( that )...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Reason, result, purpose,: review.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Reporting verbs.</w:t>
            </w:r>
          </w:p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Future in the past.</w:t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Relationships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Nouns from nouns &amp; adjectives.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Disagree-</w:t>
            </w:r>
          </w:p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ments.</w:t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Reading: the art of love.</w:t>
            </w:r>
          </w:p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Listening: Arguments.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Speaking: avoid conflict.</w:t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78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89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</w:tbl>
    <w:p>
      <w:pPr>
        <w:pStyle w:val="BodyTextCentered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Dal testo “ Amazing minds  ” vol.1, ed. Pearson</w:t>
      </w:r>
    </w:p>
    <w:p>
      <w:pPr>
        <w:pStyle w:val="BodyTextCentered"/>
        <w:jc w:val="left"/>
        <w:rPr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none"/>
          <w:lang w:val="en-US"/>
        </w:rPr>
        <w:t>1)</w:t>
      </w:r>
    </w:p>
    <w:p>
      <w:pPr>
        <w:pStyle w:val="BodyTextCentered"/>
        <w:jc w:val="left"/>
        <w:rPr>
          <w:rFonts w:ascii="Calibri" w:hAnsi="Calibri" w:cs="Apple Chancery" w:asciiTheme="majorHAnsi" w:hAnsiTheme="majorHAnsi"/>
          <w:sz w:val="36"/>
          <w:szCs w:val="36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Historical and social background:</w:t>
      </w:r>
    </w:p>
    <w:p>
      <w:pPr>
        <w:pStyle w:val="BodyTextCentered"/>
        <w:jc w:val="left"/>
        <w:rPr>
          <w:rFonts w:ascii="Calibri" w:hAnsi="Calibri" w:cs="Apple Chancery" w:asciiTheme="majorHAnsi" w:hAnsiTheme="majorHAnsi"/>
          <w:sz w:val="36"/>
          <w:szCs w:val="36"/>
          <w:lang w:val="en-US"/>
        </w:rPr>
      </w:pPr>
      <w:r>
        <w:rPr>
          <w:rFonts w:cs="Apple Chancery" w:ascii="Calibri" w:hAnsi="Calibri" w:asciiTheme="majorHAnsi" w:hAnsiTheme="majorHAnsi"/>
          <w:b w:val="false"/>
          <w:bCs w:val="false"/>
          <w:color w:val="000000"/>
          <w:kern w:val="2"/>
          <w:sz w:val="24"/>
          <w:szCs w:val="24"/>
          <w:lang w:val="en-US"/>
        </w:rPr>
        <w:t>-Celtic and Roman Britain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-Anglo Saxon Britain (pag.27-28)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-Norman England (da pag.29 a 31)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Literary background: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-Style and language in Anglo-Saxon poetry(pag.34)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-After the Norman Conquest(pag.35)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-Medieval ballads(pag.36 )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-Beowulf</w:t>
      </w: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(pag.42-43)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</w:rPr>
        <w:t>-Lord Randal</w:t>
      </w: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</w:rPr>
        <w:t>(da pag.48 a 51)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-Geoffrey Chaucer</w:t>
      </w: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(da pag.52 a 54)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The Canterbury tales(pag. 56 -57):</w:t>
      </w:r>
    </w:p>
    <w:p>
      <w:pPr>
        <w:pStyle w:val="ListParagraph"/>
        <w:numPr>
          <w:ilvl w:val="0"/>
          <w:numId w:val="1"/>
        </w:numPr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</w:rPr>
        <w:t>The General Prologue(pag.58-59)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The Wife of Bath(pag.61)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Storytelling in the Middle Ages, The Pardoner: pag.64-65)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Cultural landmarks: Canterbury Cathedral(pag,68-69)</w:t>
      </w:r>
    </w:p>
    <w:p>
      <w:pPr>
        <w:pStyle w:val="NormalWeb"/>
        <w:spacing w:lineRule="auto" w:line="288" w:beforeAutospacing="0" w:before="150" w:afterAutospacing="0" w:after="0"/>
        <w:ind w:hanging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 xml:space="preserve">Umberto Eco on the Middle Ages(pag.81-82) . 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Overview time line(pag.84-85)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/>
          <w:sz w:val="24"/>
          <w:szCs w:val="24"/>
          <w:lang w:val="en-US"/>
        </w:rPr>
      </w:r>
    </w:p>
    <w:p>
      <w:pPr>
        <w:pStyle w:val="NormalWeb"/>
        <w:spacing w:lineRule="auto" w:line="288" w:beforeAutospacing="0" w:before="150" w:afterAutospacing="0" w:after="0"/>
        <w:ind w:hanging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/>
          <w:sz w:val="24"/>
          <w:szCs w:val="24"/>
          <w:lang w:val="en-US"/>
        </w:rPr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/>
          <w:kern w:val="2"/>
          <w:sz w:val="28"/>
          <w:szCs w:val="28"/>
          <w:lang w:val="en-US"/>
        </w:rPr>
        <w:t>2)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Making Hypotheses (pag.88-89)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Historical and social background ( The Tudors, Elizabethan England, The English Renaissance: da pag.90 a 97)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The Armada Portrait (pag. 100-101)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The golden age of English literature(da pag.102 a 105)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b/>
          <w:b/>
          <w:bCs/>
          <w:color w:val="000000" w:themeColor="text1"/>
          <w:kern w:val="2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Prose (The heart of a king: pag.108-109)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William Shakespeare( pag. 126-127-128)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Sonnets: the mysteries, style and main themes (pag.171-172):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 xml:space="preserve">                          </w:t>
      </w: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Sonnet 18:«Shall I compare thee to a summer’s day?» (pag.174-175)</w:t>
      </w:r>
    </w:p>
    <w:p>
      <w:pPr>
        <w:pStyle w:val="NormalWeb"/>
        <w:numPr>
          <w:ilvl w:val="0"/>
          <w:numId w:val="0"/>
        </w:numPr>
        <w:spacing w:before="150" w:after="280"/>
        <w:ind w:left="1440" w:hanging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Sonnet 130: «My mistress’ eyes are nothing like the sun» (pag.176)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The Globe Theatre(pag.132-133)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u w:val="single"/>
          <w:lang w:val="en-US"/>
        </w:rPr>
        <w:t>Dal 9 Marzo 2020 in modalità DAD con due ore settimanali: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Romeo and Juliet (da pag. 138 a 142):</w:t>
      </w:r>
    </w:p>
    <w:p>
      <w:pPr>
        <w:pStyle w:val="NormalWeb"/>
        <w:numPr>
          <w:ilvl w:val="0"/>
          <w:numId w:val="2"/>
        </w:numPr>
        <w:spacing w:before="28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sz w:val="24"/>
          <w:szCs w:val="24"/>
          <w:lang w:val="en-US"/>
        </w:rPr>
        <w:t>A pair of star-crossed lovers(pag.140)</w:t>
      </w:r>
    </w:p>
    <w:p>
      <w:pPr>
        <w:pStyle w:val="NormalWeb"/>
        <w:numPr>
          <w:ilvl w:val="0"/>
          <w:numId w:val="2"/>
        </w:numPr>
        <w:spacing w:before="280" w:after="28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sz w:val="24"/>
          <w:szCs w:val="24"/>
          <w:lang w:val="en-US"/>
        </w:rPr>
        <w:t>The balcony scene(pag.141-144)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Hamlet(pag.145-146):</w:t>
      </w:r>
    </w:p>
    <w:p>
      <w:pPr>
        <w:pStyle w:val="NormalWeb"/>
        <w:numPr>
          <w:ilvl w:val="0"/>
          <w:numId w:val="3"/>
        </w:numPr>
        <w:spacing w:before="150" w:after="28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sz w:val="24"/>
          <w:szCs w:val="24"/>
          <w:lang w:val="en-US"/>
        </w:rPr>
        <w:t>To be or not to be (da pag.150 a 152)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b/>
          <w:b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sz w:val="24"/>
          <w:szCs w:val="24"/>
          <w:lang w:val="en-US"/>
        </w:rPr>
        <w:t>Macbeth (pag.156-157)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b/>
          <w:b/>
          <w:sz w:val="24"/>
          <w:szCs w:val="24"/>
          <w:lang w:val="en-US"/>
        </w:rPr>
      </w:pPr>
      <w:bookmarkStart w:id="0" w:name="_GoBack"/>
      <w:bookmarkEnd w:id="0"/>
      <w:r>
        <w:rPr>
          <w:rFonts w:cs="Apple Chancery" w:ascii="Calibri" w:hAnsi="Calibri" w:asciiTheme="majorHAnsi" w:hAnsiTheme="majorHAnsi"/>
          <w:b w:val="false"/>
          <w:bCs w:val="false"/>
          <w:sz w:val="24"/>
          <w:szCs w:val="24"/>
          <w:lang w:val="en-US"/>
        </w:rPr>
        <w:t>Critical perspectives: Virginia Woolf on Shakespeare ( Shakespeare’s sister )</w:t>
      </w:r>
    </w:p>
    <w:p>
      <w:pPr>
        <w:pStyle w:val="BodyTextCentered"/>
        <w:jc w:val="left"/>
        <w:rPr>
          <w:sz w:val="28"/>
          <w:szCs w:val="28"/>
        </w:rPr>
      </w:pPr>
      <w:r>
        <w:rPr>
          <w:rFonts w:eastAsia="ＭＳ 明朝" w:ascii="Times New Roman" w:hAnsi="Times New Roman" w:eastAsiaTheme="minorEastAsia"/>
          <w:sz w:val="24"/>
          <w:szCs w:val="24"/>
          <w:lang w:val="en-US"/>
        </w:rPr>
        <w:t xml:space="preserve">                                  </w:t>
      </w:r>
      <w:r>
        <w:rPr>
          <w:rFonts w:eastAsia="ＭＳ 明朝" w:ascii="Calibri" w:hAnsi="Calibri" w:eastAsiaTheme="minorEastAsia"/>
          <w:sz w:val="24"/>
          <w:szCs w:val="24"/>
          <w:lang w:val="en-US"/>
        </w:rPr>
        <w:t xml:space="preserve">Stephen Greenblatt on Shakespeare ( Shakespeare’s freedom )    </w:t>
      </w:r>
    </w:p>
    <w:p>
      <w:pPr>
        <w:pStyle w:val="BodyTextCentered"/>
        <w:jc w:val="left"/>
        <w:rPr>
          <w:sz w:val="28"/>
          <w:szCs w:val="28"/>
        </w:rPr>
      </w:pPr>
      <w:r>
        <w:rPr>
          <w:rFonts w:eastAsia="ＭＳ 明朝" w:ascii="Calibri" w:hAnsi="Calibri" w:eastAsiaTheme="minorEastAsia"/>
          <w:sz w:val="24"/>
          <w:szCs w:val="24"/>
          <w:lang w:val="en-US"/>
        </w:rPr>
        <w:t xml:space="preserve">  </w:t>
      </w:r>
      <w:r>
        <w:rPr>
          <w:rFonts w:eastAsia="ＭＳ 明朝" w:ascii="Times New Roman" w:hAnsi="Times New Roman" w:eastAsiaTheme="minorEastAsia"/>
          <w:szCs w:val="20"/>
          <w:lang w:val="en-US"/>
        </w:rPr>
        <w:t xml:space="preserve">                                                              </w:t>
      </w:r>
    </w:p>
    <w:p>
      <w:pPr>
        <w:pStyle w:val="BodyTextCentered"/>
        <w:rPr>
          <w:sz w:val="28"/>
          <w:szCs w:val="28"/>
        </w:rPr>
      </w:pPr>
      <w:r>
        <w:rPr>
          <w:sz w:val="28"/>
          <w:szCs w:val="28"/>
        </w:rPr>
        <w:t>L’ Insegnante :    Prof.ssa Anna Maria Barone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ple Chancery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41"/>
        </w:tabs>
        <w:ind w:left="184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201"/>
        </w:tabs>
        <w:ind w:left="220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61"/>
        </w:tabs>
        <w:ind w:left="256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921"/>
        </w:tabs>
        <w:ind w:left="292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81"/>
        </w:tabs>
        <w:ind w:left="328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001"/>
        </w:tabs>
        <w:ind w:left="400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61"/>
        </w:tabs>
        <w:ind w:left="4361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0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0577"/>
    <w:pPr>
      <w:widowControl/>
      <w:bidi w:val="0"/>
      <w:spacing w:before="0" w:after="0"/>
      <w:jc w:val="left"/>
    </w:pPr>
    <w:rPr>
      <w:rFonts w:ascii="Cambria" w:hAnsi="Cambria" w:eastAsia="MS ??" w:cs="Times New Roman" w:asciiTheme="minorHAnsi" w:hAnsiTheme="minorHAnsi"/>
      <w:color w:val="auto"/>
      <w:kern w:val="0"/>
      <w:sz w:val="20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4c0577"/>
    <w:rPr>
      <w:rFonts w:ascii="Cambria" w:hAnsi="Cambria" w:eastAsia="MS ??" w:cs="Times New Roman"/>
      <w:sz w:val="20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4c0577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odyTextCentered" w:customStyle="1">
    <w:name w:val="Body Text Centered"/>
    <w:basedOn w:val="Corpodeltesto"/>
    <w:uiPriority w:val="99"/>
    <w:qFormat/>
    <w:rsid w:val="004c0577"/>
    <w:pPr>
      <w:spacing w:lineRule="auto" w:line="276" w:before="240" w:after="140"/>
      <w:jc w:val="center"/>
    </w:pPr>
    <w:rPr/>
  </w:style>
  <w:style w:type="paragraph" w:styleId="Days" w:customStyle="1">
    <w:name w:val="Days"/>
    <w:basedOn w:val="Normal"/>
    <w:uiPriority w:val="99"/>
    <w:qFormat/>
    <w:rsid w:val="004c0577"/>
    <w:pPr>
      <w:spacing w:before="40" w:after="40"/>
      <w:jc w:val="center"/>
    </w:pPr>
    <w:rPr>
      <w:color w:val="7F7F7F"/>
      <w:szCs w:val="24"/>
    </w:rPr>
  </w:style>
  <w:style w:type="paragraph" w:styleId="TableText" w:customStyle="1">
    <w:name w:val="Table Text"/>
    <w:basedOn w:val="Normal"/>
    <w:uiPriority w:val="99"/>
    <w:qFormat/>
    <w:rsid w:val="004c0577"/>
    <w:pPr>
      <w:spacing w:before="40" w:after="40"/>
    </w:pPr>
    <w:rPr>
      <w:sz w:val="18"/>
      <w:szCs w:val="18"/>
    </w:rPr>
  </w:style>
  <w:style w:type="paragraph" w:styleId="Dates" w:customStyle="1">
    <w:name w:val="Dates"/>
    <w:basedOn w:val="Normal"/>
    <w:uiPriority w:val="99"/>
    <w:qFormat/>
    <w:rsid w:val="004c0577"/>
    <w:pPr>
      <w:jc w:val="right"/>
    </w:pPr>
    <w:rPr>
      <w:color w:val="7F7F7F"/>
    </w:rPr>
  </w:style>
  <w:style w:type="paragraph" w:styleId="NormalWeb">
    <w:name w:val="Normal (Web)"/>
    <w:basedOn w:val="Normal"/>
    <w:uiPriority w:val="99"/>
    <w:unhideWhenUsed/>
    <w:qFormat/>
    <w:rsid w:val="0092142e"/>
    <w:pPr>
      <w:spacing w:beforeAutospacing="1" w:afterAutospacing="1"/>
    </w:pPr>
    <w:rPr>
      <w:rFonts w:ascii="Times New Roman" w:hAnsi="Times New Roman" w:eastAsia="ＭＳ 明朝" w:eastAsiaTheme="minorEastAsia"/>
      <w:szCs w:val="20"/>
    </w:rPr>
  </w:style>
  <w:style w:type="paragraph" w:styleId="ListParagraph">
    <w:name w:val="List Paragraph"/>
    <w:basedOn w:val="Normal"/>
    <w:uiPriority w:val="34"/>
    <w:qFormat/>
    <w:rsid w:val="0092142e"/>
    <w:pPr>
      <w:spacing w:before="0" w:after="0"/>
      <w:ind w:left="720" w:hanging="0"/>
      <w:contextualSpacing/>
    </w:pPr>
    <w:rPr>
      <w:rFonts w:ascii="Times New Roman" w:hAnsi="Times New Roman" w:eastAsia="ＭＳ 明朝" w:eastAsiaTheme="minorEastAsia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7ED2-1FC5-44F9-B1DB-079D8752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LibreOffice/6.4.1.2$Windows_X86_64 LibreOffice_project/4d224e95b98b138af42a64d84056446d09082932</Application>
  <Pages>3</Pages>
  <Words>399</Words>
  <Characters>2390</Characters>
  <CharactersWithSpaces>2903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2019-05-19T19:30:00Z</dcterms:created>
  <dc:creator>Gianmatteo Marietti</dc:creator>
  <dc:description/>
  <dc:language>it-IT</dc:language>
  <cp:lastModifiedBy/>
  <dcterms:modified xsi:type="dcterms:W3CDTF">2020-06-05T15:17:32Z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