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7FB4" w14:textId="77777777" w:rsidR="00F50469" w:rsidRPr="00B11AD2" w:rsidRDefault="00F50469" w:rsidP="009559E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PROGRAMMA DI </w:t>
      </w:r>
      <w:r w:rsidR="00094CFE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LINGUA E CULTURA </w:t>
      </w:r>
      <w:r w:rsidR="00820F6B"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LATIN</w:t>
      </w:r>
      <w:r w:rsidR="00094CFE" w:rsidRPr="00B11AD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</w:p>
    <w:p w14:paraId="33E8E66C" w14:textId="77777777" w:rsidR="00F50469" w:rsidRPr="00B11AD2" w:rsidRDefault="00F50469" w:rsidP="00F5046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CLASSE 5</w:t>
      </w:r>
      <w:r w:rsidR="009559E1" w:rsidRPr="00B11AD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</w:p>
    <w:p w14:paraId="08DC8266" w14:textId="77777777" w:rsidR="00F50469" w:rsidRPr="00B11AD2" w:rsidRDefault="00F50469" w:rsidP="009559E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A.S. 20</w:t>
      </w:r>
      <w:r w:rsidR="009559E1" w:rsidRPr="00B11AD2">
        <w:rPr>
          <w:rFonts w:ascii="Verdana" w:eastAsia="Times New Roman" w:hAnsi="Verdana" w:cs="Times New Roman"/>
          <w:sz w:val="20"/>
          <w:szCs w:val="20"/>
          <w:lang w:eastAsia="it-IT"/>
        </w:rPr>
        <w:t>20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="009559E1" w:rsidRPr="00B11AD2">
        <w:rPr>
          <w:rFonts w:ascii="Verdana" w:eastAsia="Times New Roman" w:hAnsi="Verdana" w:cs="Times New Roman"/>
          <w:sz w:val="20"/>
          <w:szCs w:val="20"/>
          <w:lang w:eastAsia="it-IT"/>
        </w:rPr>
        <w:t>2021</w:t>
      </w:r>
    </w:p>
    <w:p w14:paraId="0E832945" w14:textId="77777777" w:rsidR="00F50469" w:rsidRPr="00B11AD2" w:rsidRDefault="00F50469" w:rsidP="009559E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val="en-GB"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val="en-GB" w:eastAsia="it-IT"/>
        </w:rPr>
        <w:t>L. S. S. “J. F. KENNEDY”</w:t>
      </w:r>
    </w:p>
    <w:p w14:paraId="58D307F8" w14:textId="77777777" w:rsidR="00F50469" w:rsidRPr="00B11AD2" w:rsidRDefault="00F50469" w:rsidP="009559E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P</w:t>
      </w:r>
      <w:r w:rsidR="001F30CA" w:rsidRPr="00B11AD2">
        <w:rPr>
          <w:rFonts w:ascii="Verdana" w:eastAsia="Times New Roman" w:hAnsi="Verdana" w:cs="Times New Roman"/>
          <w:sz w:val="20"/>
          <w:szCs w:val="20"/>
          <w:lang w:eastAsia="it-IT"/>
        </w:rPr>
        <w:t>rof.ssa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9559E1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Claudia </w:t>
      </w:r>
      <w:proofErr w:type="spellStart"/>
      <w:r w:rsidR="009559E1" w:rsidRPr="00B11AD2">
        <w:rPr>
          <w:rFonts w:ascii="Verdana" w:eastAsia="Times New Roman" w:hAnsi="Verdana" w:cs="Times New Roman"/>
          <w:sz w:val="20"/>
          <w:szCs w:val="20"/>
          <w:lang w:eastAsia="it-IT"/>
        </w:rPr>
        <w:t>Tesei</w:t>
      </w:r>
      <w:proofErr w:type="spellEnd"/>
    </w:p>
    <w:p w14:paraId="32E58F02" w14:textId="77777777" w:rsidR="00F50469" w:rsidRPr="00B11AD2" w:rsidRDefault="00F50469" w:rsidP="00F50469">
      <w:pPr>
        <w:jc w:val="center"/>
        <w:rPr>
          <w:rFonts w:ascii="Verdana" w:hAnsi="Verdana" w:cs="Times New Roman"/>
          <w:sz w:val="20"/>
          <w:szCs w:val="20"/>
        </w:rPr>
      </w:pPr>
    </w:p>
    <w:p w14:paraId="2BAC185E" w14:textId="77777777" w:rsidR="00F50469" w:rsidRPr="00B11AD2" w:rsidRDefault="00F50469" w:rsidP="00F50469">
      <w:pPr>
        <w:jc w:val="both"/>
        <w:rPr>
          <w:rFonts w:ascii="Verdana" w:hAnsi="Verdana" w:cs="Times New Roman"/>
          <w:i/>
          <w:sz w:val="20"/>
          <w:szCs w:val="20"/>
        </w:rPr>
      </w:pPr>
      <w:r w:rsidRPr="00B11AD2">
        <w:rPr>
          <w:rFonts w:ascii="Verdana" w:hAnsi="Verdana" w:cs="Times New Roman"/>
          <w:sz w:val="20"/>
          <w:szCs w:val="20"/>
        </w:rPr>
        <w:t xml:space="preserve">Libro di testo: </w:t>
      </w:r>
      <w:proofErr w:type="spellStart"/>
      <w:r w:rsidRPr="00B11AD2">
        <w:rPr>
          <w:rFonts w:ascii="Verdana" w:hAnsi="Verdana" w:cs="Times New Roman"/>
          <w:sz w:val="20"/>
          <w:szCs w:val="20"/>
        </w:rPr>
        <w:t>Garbarino</w:t>
      </w:r>
      <w:proofErr w:type="spellEnd"/>
      <w:r w:rsidRPr="00B11AD2">
        <w:rPr>
          <w:rFonts w:ascii="Verdana" w:hAnsi="Verdana" w:cs="Times New Roman"/>
          <w:sz w:val="20"/>
          <w:szCs w:val="20"/>
        </w:rPr>
        <w:t xml:space="preserve">-Pasquariello, </w:t>
      </w:r>
      <w:proofErr w:type="spellStart"/>
      <w:r w:rsidRPr="00B11AD2">
        <w:rPr>
          <w:rFonts w:ascii="Verdana" w:hAnsi="Verdana" w:cs="Times New Roman"/>
          <w:i/>
          <w:sz w:val="20"/>
          <w:szCs w:val="20"/>
        </w:rPr>
        <w:t>Dulce</w:t>
      </w:r>
      <w:proofErr w:type="spellEnd"/>
      <w:r w:rsidRPr="00B11AD2">
        <w:rPr>
          <w:rFonts w:ascii="Verdana" w:hAnsi="Verdana" w:cs="Times New Roman"/>
          <w:i/>
          <w:sz w:val="20"/>
          <w:szCs w:val="20"/>
        </w:rPr>
        <w:t xml:space="preserve"> </w:t>
      </w:r>
      <w:proofErr w:type="spellStart"/>
      <w:r w:rsidRPr="00B11AD2">
        <w:rPr>
          <w:rFonts w:ascii="Verdana" w:hAnsi="Verdana" w:cs="Times New Roman"/>
          <w:i/>
          <w:sz w:val="20"/>
          <w:szCs w:val="20"/>
        </w:rPr>
        <w:t>ridentem</w:t>
      </w:r>
      <w:proofErr w:type="spellEnd"/>
      <w:r w:rsidR="00820F6B" w:rsidRPr="00B11AD2">
        <w:rPr>
          <w:rFonts w:ascii="Verdana" w:hAnsi="Verdana" w:cs="Times New Roman"/>
          <w:i/>
          <w:sz w:val="20"/>
          <w:szCs w:val="20"/>
        </w:rPr>
        <w:t>. Cultura e letteratura latina</w:t>
      </w:r>
      <w:r w:rsidRPr="00B11AD2">
        <w:rPr>
          <w:rFonts w:ascii="Verdana" w:hAnsi="Verdana" w:cs="Times New Roman"/>
          <w:sz w:val="20"/>
          <w:szCs w:val="20"/>
        </w:rPr>
        <w:t>, Paravia, vol. 3</w:t>
      </w:r>
      <w:r w:rsidR="00820F6B" w:rsidRPr="00B11AD2">
        <w:rPr>
          <w:rFonts w:ascii="Verdana" w:hAnsi="Verdana" w:cs="Times New Roman"/>
          <w:sz w:val="20"/>
          <w:szCs w:val="20"/>
        </w:rPr>
        <w:t xml:space="preserve">, </w:t>
      </w:r>
      <w:r w:rsidR="00820F6B" w:rsidRPr="00B11AD2">
        <w:rPr>
          <w:rFonts w:ascii="Verdana" w:hAnsi="Verdana" w:cs="Times New Roman"/>
          <w:i/>
          <w:sz w:val="20"/>
          <w:szCs w:val="20"/>
        </w:rPr>
        <w:t>Dalla prima età imperiale ai regni romano-ba</w:t>
      </w:r>
      <w:r w:rsidR="00B329BA" w:rsidRPr="00B11AD2">
        <w:rPr>
          <w:rFonts w:ascii="Verdana" w:hAnsi="Verdana" w:cs="Times New Roman"/>
          <w:i/>
          <w:sz w:val="20"/>
          <w:szCs w:val="20"/>
        </w:rPr>
        <w:t>r</w:t>
      </w:r>
      <w:r w:rsidR="00820F6B" w:rsidRPr="00B11AD2">
        <w:rPr>
          <w:rFonts w:ascii="Verdana" w:hAnsi="Verdana" w:cs="Times New Roman"/>
          <w:i/>
          <w:sz w:val="20"/>
          <w:szCs w:val="20"/>
        </w:rPr>
        <w:t>barici</w:t>
      </w:r>
    </w:p>
    <w:p w14:paraId="042FA36C" w14:textId="77777777" w:rsidR="00F50469" w:rsidRPr="00B11AD2" w:rsidRDefault="00F504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 brani antologici letti e analizzati in lingua latina sono esplicitamente indicati; gli altri brani sono stati letti nella traduzione italiana, compresi e collocati nella produzione dell’autore.</w:t>
      </w:r>
    </w:p>
    <w:p w14:paraId="329D0E79" w14:textId="77777777" w:rsidR="00F50469" w:rsidRPr="00B11AD2" w:rsidRDefault="00F504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E410030" w14:textId="7E3346C5" w:rsidR="009559E1" w:rsidRPr="00B11AD2" w:rsidRDefault="009559E1" w:rsidP="00C0082F">
      <w:pPr>
        <w:jc w:val="both"/>
        <w:rPr>
          <w:rFonts w:ascii="Verdana" w:hAnsi="Verdana"/>
          <w:i/>
          <w:iCs/>
        </w:rPr>
      </w:pPr>
      <w:r w:rsidRPr="00B11AD2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Modulo 1</w:t>
      </w:r>
      <w:r w:rsid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Pr="00B11AD2">
        <w:rPr>
          <w:rFonts w:ascii="Verdana" w:hAnsi="Verdana"/>
          <w:i/>
          <w:iCs/>
        </w:rPr>
        <w:t>INTELLETTUALI E POTERE: GLI IMPERATORI VISTI DAGLI SCRITTORI (DA TIBERIO A TRAIANO)</w:t>
      </w:r>
    </w:p>
    <w:p w14:paraId="2EB10F2D" w14:textId="77777777" w:rsidR="009559E1" w:rsidRPr="006A59C5" w:rsidRDefault="009559E1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i/>
          <w:iCs/>
          <w:sz w:val="20"/>
          <w:szCs w:val="20"/>
        </w:rPr>
      </w:pPr>
      <w:r w:rsidRPr="006A59C5">
        <w:rPr>
          <w:rFonts w:ascii="Verdana" w:hAnsi="Verdana"/>
          <w:b/>
          <w:bCs/>
          <w:sz w:val="20"/>
          <w:szCs w:val="20"/>
        </w:rPr>
        <w:t>La questione della storiografia nell’età imperiale</w:t>
      </w:r>
      <w:r w:rsidRPr="006A59C5">
        <w:rPr>
          <w:rFonts w:ascii="Verdana" w:hAnsi="Verdana"/>
          <w:sz w:val="20"/>
          <w:szCs w:val="20"/>
        </w:rPr>
        <w:t>:</w:t>
      </w:r>
    </w:p>
    <w:p w14:paraId="599FEDBD" w14:textId="77777777" w:rsidR="009559E1" w:rsidRPr="006A59C5" w:rsidRDefault="009559E1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 xml:space="preserve">Annales, I, 1 Il proemio, p. 382, </w:t>
      </w:r>
      <w:r w:rsidRPr="006A59C5">
        <w:rPr>
          <w:rFonts w:ascii="Verdana" w:hAnsi="Verdana"/>
          <w:b/>
          <w:bCs/>
          <w:sz w:val="20"/>
          <w:szCs w:val="20"/>
        </w:rPr>
        <w:t>in latino</w:t>
      </w:r>
    </w:p>
    <w:p w14:paraId="677054EF" w14:textId="5CA0637C" w:rsidR="009559E1" w:rsidRPr="006A59C5" w:rsidRDefault="009559E1" w:rsidP="00C0082F">
      <w:pPr>
        <w:jc w:val="both"/>
        <w:rPr>
          <w:rFonts w:ascii="Verdana" w:hAnsi="Verdana"/>
          <w:iCs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proofErr w:type="spellStart"/>
      <w:r w:rsidRPr="006A59C5">
        <w:rPr>
          <w:rFonts w:ascii="Verdana" w:hAnsi="Verdana"/>
          <w:i/>
          <w:iCs/>
          <w:sz w:val="20"/>
          <w:szCs w:val="20"/>
        </w:rPr>
        <w:t>Historiae</w:t>
      </w:r>
      <w:proofErr w:type="spellEnd"/>
      <w:r w:rsidRPr="006A59C5">
        <w:rPr>
          <w:rFonts w:ascii="Verdana" w:hAnsi="Verdana"/>
          <w:i/>
          <w:iCs/>
          <w:sz w:val="20"/>
          <w:szCs w:val="20"/>
        </w:rPr>
        <w:t xml:space="preserve">, I, 2-3 </w:t>
      </w:r>
      <w:r w:rsidRPr="006A59C5">
        <w:rPr>
          <w:rFonts w:ascii="Verdana" w:hAnsi="Verdana"/>
          <w:iCs/>
          <w:sz w:val="20"/>
          <w:szCs w:val="20"/>
        </w:rPr>
        <w:t xml:space="preserve">(materiale </w:t>
      </w:r>
      <w:r w:rsidR="00D0176C" w:rsidRPr="006A59C5">
        <w:rPr>
          <w:rFonts w:ascii="Verdana" w:hAnsi="Verdana"/>
          <w:iCs/>
          <w:sz w:val="20"/>
          <w:szCs w:val="20"/>
        </w:rPr>
        <w:t>fornito dalla docente)</w:t>
      </w:r>
    </w:p>
    <w:p w14:paraId="5B773688" w14:textId="77777777" w:rsidR="00D0176C" w:rsidRPr="006A59C5" w:rsidRDefault="00D0176C" w:rsidP="00C0082F">
      <w:pPr>
        <w:pStyle w:val="Paragrafoelenco"/>
        <w:numPr>
          <w:ilvl w:val="0"/>
          <w:numId w:val="2"/>
        </w:numPr>
        <w:ind w:left="372"/>
        <w:jc w:val="both"/>
        <w:rPr>
          <w:rFonts w:ascii="Verdana" w:hAnsi="Verdana"/>
          <w:b/>
          <w:i/>
          <w:iCs/>
          <w:sz w:val="20"/>
          <w:szCs w:val="20"/>
        </w:rPr>
      </w:pPr>
      <w:r w:rsidRPr="006A59C5">
        <w:rPr>
          <w:rFonts w:ascii="Verdana" w:eastAsia="Times New Roman" w:hAnsi="Verdana" w:cs="Times New Roman"/>
          <w:b/>
          <w:sz w:val="20"/>
          <w:szCs w:val="20"/>
          <w:lang w:eastAsia="it-IT"/>
        </w:rPr>
        <w:t>Tiberio:</w:t>
      </w:r>
    </w:p>
    <w:p w14:paraId="0773D3DB" w14:textId="776D543F" w:rsidR="00D0176C" w:rsidRPr="006A59C5" w:rsidRDefault="00D0176C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i/>
          <w:iCs/>
          <w:sz w:val="20"/>
          <w:szCs w:val="20"/>
        </w:rPr>
        <w:t xml:space="preserve">        </w:t>
      </w:r>
      <w:r w:rsidR="00C0082F" w:rsidRPr="006A59C5">
        <w:rPr>
          <w:rFonts w:ascii="Verdana" w:hAnsi="Verdana"/>
          <w:i/>
          <w:iCs/>
          <w:sz w:val="20"/>
          <w:szCs w:val="20"/>
        </w:rPr>
        <w:t xml:space="preserve"> </w:t>
      </w:r>
      <w:r w:rsidRPr="006A59C5">
        <w:rPr>
          <w:rFonts w:ascii="Verdana" w:hAnsi="Verdana"/>
          <w:iCs/>
          <w:sz w:val="20"/>
          <w:szCs w:val="20"/>
        </w:rPr>
        <w:t xml:space="preserve">Fedro, </w:t>
      </w:r>
      <w:r w:rsidRPr="006A59C5">
        <w:rPr>
          <w:rFonts w:ascii="Verdana" w:hAnsi="Verdana"/>
          <w:sz w:val="20"/>
          <w:szCs w:val="20"/>
        </w:rPr>
        <w:t xml:space="preserve">Il lupo magro e il cane grasso, </w:t>
      </w:r>
      <w:proofErr w:type="spellStart"/>
      <w:r w:rsidRPr="006A59C5">
        <w:rPr>
          <w:rFonts w:ascii="Verdana" w:hAnsi="Verdana"/>
          <w:i/>
          <w:iCs/>
          <w:sz w:val="20"/>
          <w:szCs w:val="20"/>
        </w:rPr>
        <w:t>Fabulae</w:t>
      </w:r>
      <w:proofErr w:type="spellEnd"/>
      <w:r w:rsidRPr="006A59C5">
        <w:rPr>
          <w:rFonts w:ascii="Verdana" w:hAnsi="Verdana"/>
          <w:i/>
          <w:iCs/>
          <w:sz w:val="20"/>
          <w:szCs w:val="20"/>
        </w:rPr>
        <w:t xml:space="preserve">, III, 7, </w:t>
      </w:r>
      <w:r w:rsidRPr="006A59C5">
        <w:rPr>
          <w:rFonts w:ascii="Verdana" w:hAnsi="Verdana"/>
          <w:sz w:val="20"/>
          <w:szCs w:val="20"/>
        </w:rPr>
        <w:t>p. 25-26</w:t>
      </w:r>
    </w:p>
    <w:p w14:paraId="019320E0" w14:textId="10157FD0" w:rsidR="00D0176C" w:rsidRPr="006A59C5" w:rsidRDefault="00D0176C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 xml:space="preserve">        </w:t>
      </w:r>
      <w:r w:rsidR="00C0082F" w:rsidRPr="006A59C5">
        <w:rPr>
          <w:rFonts w:ascii="Verdana" w:hAnsi="Verdana"/>
          <w:sz w:val="20"/>
          <w:szCs w:val="20"/>
        </w:rPr>
        <w:t xml:space="preserve"> </w:t>
      </w:r>
      <w:r w:rsidRPr="006A59C5">
        <w:rPr>
          <w:rFonts w:ascii="Verdana" w:hAnsi="Verdana"/>
          <w:sz w:val="20"/>
          <w:szCs w:val="20"/>
        </w:rPr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>Annales, IV, 34,</w:t>
      </w:r>
      <w:r w:rsidR="006A59C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A59C5">
        <w:rPr>
          <w:rFonts w:ascii="Verdana" w:hAnsi="Verdana"/>
          <w:sz w:val="20"/>
          <w:szCs w:val="20"/>
        </w:rPr>
        <w:t>Cremuzio</w:t>
      </w:r>
      <w:proofErr w:type="spellEnd"/>
      <w:r w:rsidRPr="006A59C5">
        <w:rPr>
          <w:rFonts w:ascii="Verdana" w:hAnsi="Verdana"/>
          <w:sz w:val="20"/>
          <w:szCs w:val="20"/>
        </w:rPr>
        <w:t xml:space="preserve"> </w:t>
      </w:r>
      <w:proofErr w:type="spellStart"/>
      <w:r w:rsidRPr="006A59C5">
        <w:rPr>
          <w:rFonts w:ascii="Verdana" w:hAnsi="Verdana"/>
          <w:sz w:val="20"/>
          <w:szCs w:val="20"/>
        </w:rPr>
        <w:t>Cordo</w:t>
      </w:r>
      <w:proofErr w:type="spellEnd"/>
      <w:r w:rsidRPr="006A59C5">
        <w:rPr>
          <w:rFonts w:ascii="Verdana" w:hAnsi="Verdana"/>
          <w:sz w:val="20"/>
          <w:szCs w:val="20"/>
        </w:rPr>
        <w:t>, p. 384</w:t>
      </w:r>
    </w:p>
    <w:p w14:paraId="0460DA37" w14:textId="77777777" w:rsidR="00D0176C" w:rsidRPr="006A59C5" w:rsidRDefault="00D0176C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b/>
          <w:iCs/>
          <w:sz w:val="20"/>
          <w:szCs w:val="20"/>
        </w:rPr>
      </w:pPr>
      <w:r w:rsidRPr="006A59C5">
        <w:rPr>
          <w:rFonts w:ascii="Verdana" w:hAnsi="Verdana"/>
          <w:b/>
          <w:iCs/>
          <w:sz w:val="20"/>
          <w:szCs w:val="20"/>
        </w:rPr>
        <w:t>Caligola:</w:t>
      </w:r>
    </w:p>
    <w:p w14:paraId="12A0233C" w14:textId="53B8FB18" w:rsidR="00D0176C" w:rsidRPr="006A59C5" w:rsidRDefault="00D0176C" w:rsidP="00C0082F">
      <w:pPr>
        <w:jc w:val="both"/>
        <w:rPr>
          <w:rFonts w:ascii="Verdana" w:hAnsi="Verdana"/>
          <w:b/>
          <w:iCs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 xml:space="preserve">        </w:t>
      </w:r>
      <w:r w:rsidR="00C0082F" w:rsidRPr="006A59C5">
        <w:rPr>
          <w:rFonts w:ascii="Verdana" w:hAnsi="Verdana"/>
          <w:sz w:val="20"/>
          <w:szCs w:val="20"/>
        </w:rPr>
        <w:t xml:space="preserve"> </w:t>
      </w:r>
      <w:r w:rsidRPr="006A59C5">
        <w:rPr>
          <w:rFonts w:ascii="Verdana" w:hAnsi="Verdana"/>
          <w:sz w:val="20"/>
          <w:szCs w:val="20"/>
        </w:rPr>
        <w:t xml:space="preserve">Seneca, </w:t>
      </w:r>
      <w:r w:rsidRPr="006A59C5">
        <w:rPr>
          <w:rFonts w:ascii="Verdana" w:hAnsi="Verdana"/>
          <w:i/>
          <w:iCs/>
          <w:sz w:val="20"/>
          <w:szCs w:val="20"/>
        </w:rPr>
        <w:t xml:space="preserve">De ira, I, 1, 1-4 </w:t>
      </w:r>
      <w:r w:rsidRPr="006A59C5">
        <w:rPr>
          <w:rFonts w:ascii="Verdana" w:hAnsi="Verdana"/>
          <w:sz w:val="20"/>
          <w:szCs w:val="20"/>
        </w:rPr>
        <w:t>“Una pazzia di breve durata”, p. 87</w:t>
      </w:r>
    </w:p>
    <w:p w14:paraId="24747D10" w14:textId="77777777" w:rsidR="00D0176C" w:rsidRPr="006A59C5" w:rsidRDefault="00D0176C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b/>
          <w:iCs/>
          <w:sz w:val="20"/>
          <w:szCs w:val="20"/>
        </w:rPr>
      </w:pPr>
      <w:r w:rsidRPr="006A59C5">
        <w:rPr>
          <w:rFonts w:ascii="Verdana" w:hAnsi="Verdana"/>
          <w:b/>
          <w:bCs/>
          <w:sz w:val="20"/>
          <w:szCs w:val="20"/>
        </w:rPr>
        <w:t>Claudio</w:t>
      </w:r>
      <w:r w:rsidRPr="006A59C5">
        <w:rPr>
          <w:rFonts w:ascii="Verdana" w:hAnsi="Verdana"/>
          <w:sz w:val="20"/>
          <w:szCs w:val="20"/>
        </w:rPr>
        <w:t>:</w:t>
      </w:r>
    </w:p>
    <w:p w14:paraId="23EE953A" w14:textId="0D536792" w:rsidR="00D0176C" w:rsidRPr="006A59C5" w:rsidRDefault="00D0176C" w:rsidP="00C0082F">
      <w:pPr>
        <w:jc w:val="both"/>
        <w:rPr>
          <w:rFonts w:ascii="Verdana" w:hAnsi="Verdana"/>
          <w:iCs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 xml:space="preserve">        </w:t>
      </w:r>
      <w:r w:rsidR="00C0082F" w:rsidRPr="006A59C5">
        <w:rPr>
          <w:rFonts w:ascii="Verdana" w:hAnsi="Verdana"/>
          <w:sz w:val="20"/>
          <w:szCs w:val="20"/>
        </w:rPr>
        <w:t xml:space="preserve"> </w:t>
      </w:r>
      <w:r w:rsidRPr="006A59C5">
        <w:rPr>
          <w:rFonts w:ascii="Verdana" w:hAnsi="Verdana"/>
          <w:sz w:val="20"/>
          <w:szCs w:val="20"/>
        </w:rPr>
        <w:t xml:space="preserve">Seneca, </w:t>
      </w:r>
      <w:proofErr w:type="spellStart"/>
      <w:r w:rsidRPr="006A59C5">
        <w:rPr>
          <w:rFonts w:ascii="Verdana" w:hAnsi="Verdana"/>
          <w:i/>
          <w:iCs/>
          <w:sz w:val="20"/>
          <w:szCs w:val="20"/>
        </w:rPr>
        <w:t>Apokolokyntosis</w:t>
      </w:r>
      <w:proofErr w:type="spellEnd"/>
      <w:r w:rsidRPr="006A59C5">
        <w:rPr>
          <w:rFonts w:ascii="Verdana" w:hAnsi="Verdana"/>
          <w:i/>
          <w:iCs/>
          <w:sz w:val="20"/>
          <w:szCs w:val="20"/>
        </w:rPr>
        <w:t xml:space="preserve">, </w:t>
      </w:r>
      <w:r w:rsidRPr="006A59C5">
        <w:rPr>
          <w:rFonts w:ascii="Verdana" w:hAnsi="Verdana"/>
          <w:sz w:val="20"/>
          <w:szCs w:val="20"/>
        </w:rPr>
        <w:t xml:space="preserve">“Comparsa di Claudio tra gli dei e prime traversie” </w:t>
      </w:r>
      <w:r w:rsidRPr="006A59C5">
        <w:rPr>
          <w:rFonts w:ascii="Verdana" w:hAnsi="Verdana"/>
          <w:iCs/>
          <w:sz w:val="20"/>
          <w:szCs w:val="20"/>
        </w:rPr>
        <w:t xml:space="preserve">(materiale fornito dalla </w:t>
      </w:r>
      <w:r w:rsidRPr="006A59C5">
        <w:rPr>
          <w:rFonts w:ascii="Verdana" w:hAnsi="Verdana"/>
          <w:iCs/>
          <w:sz w:val="20"/>
          <w:szCs w:val="20"/>
        </w:rPr>
        <w:tab/>
        <w:t>docente)</w:t>
      </w:r>
    </w:p>
    <w:p w14:paraId="12DFA9E4" w14:textId="77777777" w:rsidR="00D0176C" w:rsidRPr="006A59C5" w:rsidRDefault="00D0176C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b/>
          <w:bCs/>
          <w:sz w:val="20"/>
          <w:szCs w:val="20"/>
        </w:rPr>
        <w:t>Nerone</w:t>
      </w:r>
      <w:r w:rsidRPr="006A59C5">
        <w:rPr>
          <w:rFonts w:ascii="Verdana" w:hAnsi="Verdana"/>
          <w:sz w:val="20"/>
          <w:szCs w:val="20"/>
        </w:rPr>
        <w:t>:</w:t>
      </w:r>
    </w:p>
    <w:p w14:paraId="29853ECF" w14:textId="028A43B0" w:rsidR="00D0176C" w:rsidRPr="006A59C5" w:rsidRDefault="00C0082F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 xml:space="preserve">         </w:t>
      </w:r>
      <w:r w:rsidR="00D0176C" w:rsidRPr="006A59C5">
        <w:rPr>
          <w:rFonts w:ascii="Verdana" w:hAnsi="Verdana"/>
          <w:sz w:val="20"/>
          <w:szCs w:val="20"/>
        </w:rPr>
        <w:t xml:space="preserve">Seneca, </w:t>
      </w:r>
      <w:r w:rsidR="00D0176C" w:rsidRPr="006A59C5">
        <w:rPr>
          <w:rFonts w:ascii="Verdana" w:hAnsi="Verdana"/>
          <w:i/>
          <w:iCs/>
          <w:sz w:val="20"/>
          <w:szCs w:val="20"/>
        </w:rPr>
        <w:t xml:space="preserve">De </w:t>
      </w:r>
      <w:proofErr w:type="spellStart"/>
      <w:r w:rsidR="00D0176C" w:rsidRPr="006A59C5">
        <w:rPr>
          <w:rFonts w:ascii="Verdana" w:hAnsi="Verdana"/>
          <w:i/>
          <w:iCs/>
          <w:sz w:val="20"/>
          <w:szCs w:val="20"/>
        </w:rPr>
        <w:t>clementia</w:t>
      </w:r>
      <w:proofErr w:type="spellEnd"/>
      <w:r w:rsidR="00D0176C" w:rsidRPr="006A59C5">
        <w:rPr>
          <w:rFonts w:ascii="Verdana" w:hAnsi="Verdana"/>
          <w:i/>
          <w:iCs/>
          <w:sz w:val="20"/>
          <w:szCs w:val="20"/>
        </w:rPr>
        <w:t xml:space="preserve">, I, 1-4, </w:t>
      </w:r>
      <w:r w:rsidR="00D0176C" w:rsidRPr="006A59C5">
        <w:rPr>
          <w:rFonts w:ascii="Verdana" w:hAnsi="Verdana"/>
          <w:sz w:val="20"/>
          <w:szCs w:val="20"/>
        </w:rPr>
        <w:t>“Il principe allo specchio</w:t>
      </w:r>
      <w:r w:rsidR="00C10627" w:rsidRPr="006A59C5">
        <w:rPr>
          <w:rFonts w:ascii="Verdana" w:hAnsi="Verdana"/>
          <w:sz w:val="20"/>
          <w:szCs w:val="20"/>
        </w:rPr>
        <w:t>”</w:t>
      </w:r>
      <w:r w:rsidR="00D0176C" w:rsidRPr="006A59C5">
        <w:rPr>
          <w:rFonts w:ascii="Verdana" w:hAnsi="Verdana"/>
          <w:sz w:val="20"/>
          <w:szCs w:val="20"/>
        </w:rPr>
        <w:t xml:space="preserve">, p. 98 </w:t>
      </w:r>
    </w:p>
    <w:p w14:paraId="77C760C4" w14:textId="37B511BE" w:rsidR="00C10627" w:rsidRPr="006A59C5" w:rsidRDefault="00D0176C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 xml:space="preserve">Annales, </w:t>
      </w:r>
      <w:r w:rsidR="00C10627" w:rsidRPr="006A59C5">
        <w:rPr>
          <w:rFonts w:ascii="Verdana" w:hAnsi="Verdana"/>
          <w:sz w:val="20"/>
          <w:szCs w:val="20"/>
        </w:rPr>
        <w:t xml:space="preserve">XV, Il suicidio </w:t>
      </w:r>
      <w:r w:rsidRPr="006A59C5">
        <w:rPr>
          <w:rFonts w:ascii="Verdana" w:hAnsi="Verdana"/>
          <w:sz w:val="20"/>
          <w:szCs w:val="20"/>
        </w:rPr>
        <w:t xml:space="preserve">di Seneca, </w:t>
      </w:r>
      <w:r w:rsidR="00C10627" w:rsidRPr="006A59C5">
        <w:rPr>
          <w:rFonts w:ascii="Verdana" w:hAnsi="Verdana"/>
          <w:sz w:val="20"/>
          <w:szCs w:val="20"/>
        </w:rPr>
        <w:t xml:space="preserve">p.40; </w:t>
      </w:r>
    </w:p>
    <w:p w14:paraId="36D829AD" w14:textId="733D466F" w:rsidR="00C10627" w:rsidRPr="006A59C5" w:rsidRDefault="00C10627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 xml:space="preserve">       </w:t>
      </w:r>
      <w:r w:rsidR="00C0082F" w:rsidRPr="006A59C5">
        <w:rPr>
          <w:rFonts w:ascii="Verdana" w:hAnsi="Verdana"/>
          <w:sz w:val="20"/>
          <w:szCs w:val="20"/>
        </w:rPr>
        <w:t xml:space="preserve">  </w:t>
      </w:r>
      <w:r w:rsidR="006A59C5">
        <w:rPr>
          <w:rFonts w:ascii="Verdana" w:hAnsi="Verdana"/>
          <w:sz w:val="20"/>
          <w:szCs w:val="20"/>
        </w:rPr>
        <w:t xml:space="preserve"> </w:t>
      </w:r>
      <w:r w:rsidRPr="006A59C5">
        <w:rPr>
          <w:rFonts w:ascii="Verdana" w:hAnsi="Verdana"/>
          <w:sz w:val="20"/>
          <w:szCs w:val="20"/>
        </w:rPr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>Annales,</w:t>
      </w:r>
      <w:r w:rsidR="006A59C5">
        <w:rPr>
          <w:rFonts w:ascii="Verdana" w:hAnsi="Verdana"/>
          <w:i/>
          <w:iCs/>
          <w:sz w:val="20"/>
          <w:szCs w:val="20"/>
        </w:rPr>
        <w:t xml:space="preserve"> </w:t>
      </w:r>
      <w:r w:rsidRPr="006A59C5">
        <w:rPr>
          <w:rFonts w:ascii="Verdana" w:hAnsi="Verdana"/>
          <w:sz w:val="20"/>
          <w:szCs w:val="20"/>
        </w:rPr>
        <w:t xml:space="preserve">XVI, La </w:t>
      </w:r>
      <w:r w:rsidR="00D0176C" w:rsidRPr="006A59C5">
        <w:rPr>
          <w:rFonts w:ascii="Verdana" w:hAnsi="Verdana"/>
          <w:sz w:val="20"/>
          <w:szCs w:val="20"/>
        </w:rPr>
        <w:t xml:space="preserve">morte di Petronio, </w:t>
      </w:r>
      <w:r w:rsidRPr="006A59C5">
        <w:rPr>
          <w:rFonts w:ascii="Verdana" w:hAnsi="Verdana"/>
          <w:sz w:val="20"/>
          <w:szCs w:val="20"/>
        </w:rPr>
        <w:t>p. 154</w:t>
      </w:r>
    </w:p>
    <w:p w14:paraId="1DC3B009" w14:textId="357E69DD" w:rsidR="00C10627" w:rsidRPr="006A59C5" w:rsidRDefault="00C10627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 xml:space="preserve">Annales, </w:t>
      </w:r>
      <w:r w:rsidRPr="006A59C5">
        <w:rPr>
          <w:rFonts w:ascii="Verdana" w:hAnsi="Verdana"/>
          <w:sz w:val="20"/>
          <w:szCs w:val="20"/>
        </w:rPr>
        <w:t>XIII, L’</w:t>
      </w:r>
      <w:r w:rsidR="00D0176C" w:rsidRPr="006A59C5">
        <w:rPr>
          <w:rFonts w:ascii="Verdana" w:hAnsi="Verdana"/>
          <w:sz w:val="20"/>
          <w:szCs w:val="20"/>
        </w:rPr>
        <w:t>uccisione di Britannico, p. 388</w:t>
      </w:r>
      <w:r w:rsidRPr="006A59C5">
        <w:rPr>
          <w:rFonts w:ascii="Verdana" w:hAnsi="Verdana"/>
          <w:sz w:val="20"/>
          <w:szCs w:val="20"/>
        </w:rPr>
        <w:t xml:space="preserve">, </w:t>
      </w:r>
    </w:p>
    <w:p w14:paraId="7745091B" w14:textId="4CBADCCA" w:rsidR="00D0176C" w:rsidRPr="006A59C5" w:rsidRDefault="00C10627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 xml:space="preserve">Annales, </w:t>
      </w:r>
      <w:r w:rsidR="006A59C5">
        <w:rPr>
          <w:rFonts w:ascii="Verdana" w:hAnsi="Verdana"/>
          <w:sz w:val="20"/>
          <w:szCs w:val="20"/>
        </w:rPr>
        <w:t xml:space="preserve">XIII, </w:t>
      </w:r>
      <w:r w:rsidRPr="006A59C5">
        <w:rPr>
          <w:rFonts w:ascii="Verdana" w:hAnsi="Verdana"/>
          <w:sz w:val="20"/>
          <w:szCs w:val="20"/>
        </w:rPr>
        <w:t xml:space="preserve">La morte di Agrippina, </w:t>
      </w:r>
      <w:r w:rsidR="00D0176C" w:rsidRPr="006A59C5">
        <w:rPr>
          <w:rFonts w:ascii="Verdana" w:hAnsi="Verdana"/>
          <w:sz w:val="20"/>
          <w:szCs w:val="20"/>
        </w:rPr>
        <w:t>p. 39</w:t>
      </w:r>
      <w:r w:rsidRPr="006A59C5">
        <w:rPr>
          <w:rFonts w:ascii="Verdana" w:hAnsi="Verdana"/>
          <w:sz w:val="20"/>
          <w:szCs w:val="20"/>
        </w:rPr>
        <w:t>0-</w:t>
      </w:r>
      <w:r w:rsidR="00D0176C" w:rsidRPr="006A59C5">
        <w:rPr>
          <w:rFonts w:ascii="Verdana" w:hAnsi="Verdana"/>
          <w:sz w:val="20"/>
          <w:szCs w:val="20"/>
        </w:rPr>
        <w:t>2</w:t>
      </w:r>
      <w:r w:rsidRPr="006A59C5">
        <w:rPr>
          <w:rFonts w:ascii="Verdana" w:hAnsi="Verdana"/>
          <w:sz w:val="20"/>
          <w:szCs w:val="20"/>
        </w:rPr>
        <w:t xml:space="preserve"> </w:t>
      </w:r>
    </w:p>
    <w:p w14:paraId="2E7B47B9" w14:textId="77777777" w:rsidR="00C10627" w:rsidRPr="006A59C5" w:rsidRDefault="00C10627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iCs/>
          <w:sz w:val="20"/>
          <w:szCs w:val="20"/>
        </w:rPr>
      </w:pPr>
      <w:r w:rsidRPr="006A59C5">
        <w:rPr>
          <w:rFonts w:ascii="Verdana" w:hAnsi="Verdana"/>
          <w:b/>
          <w:iCs/>
          <w:sz w:val="20"/>
          <w:szCs w:val="20"/>
        </w:rPr>
        <w:t xml:space="preserve">Tito e Vespasiano: </w:t>
      </w:r>
      <w:r w:rsidRPr="006A59C5">
        <w:rPr>
          <w:rFonts w:ascii="Verdana" w:hAnsi="Verdana"/>
          <w:iCs/>
          <w:sz w:val="20"/>
          <w:szCs w:val="20"/>
        </w:rPr>
        <w:t xml:space="preserve">passi da Svetonio, Vita </w:t>
      </w:r>
      <w:proofErr w:type="spellStart"/>
      <w:r w:rsidRPr="006A59C5">
        <w:rPr>
          <w:rFonts w:ascii="Verdana" w:hAnsi="Verdana"/>
          <w:iCs/>
          <w:sz w:val="20"/>
          <w:szCs w:val="20"/>
        </w:rPr>
        <w:t>Caesarum</w:t>
      </w:r>
      <w:proofErr w:type="spellEnd"/>
      <w:r w:rsidRPr="006A59C5">
        <w:rPr>
          <w:rFonts w:ascii="Verdana" w:hAnsi="Verdana"/>
          <w:iCs/>
          <w:sz w:val="20"/>
          <w:szCs w:val="20"/>
        </w:rPr>
        <w:t xml:space="preserve"> (a scelta dello studente)</w:t>
      </w:r>
    </w:p>
    <w:p w14:paraId="4A7B41DF" w14:textId="77777777" w:rsidR="00C10627" w:rsidRPr="006A59C5" w:rsidRDefault="00C10627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iCs/>
          <w:sz w:val="20"/>
          <w:szCs w:val="20"/>
        </w:rPr>
      </w:pPr>
      <w:r w:rsidRPr="006A59C5">
        <w:rPr>
          <w:rFonts w:ascii="Verdana" w:hAnsi="Verdana"/>
          <w:b/>
          <w:iCs/>
          <w:sz w:val="20"/>
          <w:szCs w:val="20"/>
        </w:rPr>
        <w:t>Domiziano:</w:t>
      </w:r>
      <w:r w:rsidRPr="006A59C5">
        <w:rPr>
          <w:rFonts w:ascii="Verdana" w:hAnsi="Verdana"/>
          <w:iCs/>
          <w:sz w:val="20"/>
          <w:szCs w:val="20"/>
        </w:rPr>
        <w:t xml:space="preserve"> </w:t>
      </w:r>
    </w:p>
    <w:p w14:paraId="759AF4A8" w14:textId="77777777" w:rsidR="00C10627" w:rsidRPr="006A59C5" w:rsidRDefault="00C10627" w:rsidP="00C0082F">
      <w:pPr>
        <w:jc w:val="both"/>
        <w:rPr>
          <w:rFonts w:ascii="Verdana" w:hAnsi="Verdana"/>
          <w:b/>
          <w:bCs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  <w:t xml:space="preserve">Tacito, </w:t>
      </w:r>
      <w:r w:rsidRPr="006A59C5">
        <w:rPr>
          <w:rFonts w:ascii="Verdana" w:hAnsi="Verdana"/>
          <w:i/>
          <w:iCs/>
          <w:sz w:val="20"/>
          <w:szCs w:val="20"/>
        </w:rPr>
        <w:t xml:space="preserve">Agricola, 3, 1-3 </w:t>
      </w:r>
      <w:r w:rsidRPr="006A59C5">
        <w:rPr>
          <w:rFonts w:ascii="Verdana" w:hAnsi="Verdana"/>
          <w:sz w:val="20"/>
          <w:szCs w:val="20"/>
        </w:rPr>
        <w:t xml:space="preserve">“Dopo una vita trascorsa nel silenzio”, p. 360, </w:t>
      </w:r>
      <w:r w:rsidRPr="006A59C5">
        <w:rPr>
          <w:rFonts w:ascii="Verdana" w:hAnsi="Verdana"/>
          <w:b/>
          <w:bCs/>
          <w:sz w:val="20"/>
          <w:szCs w:val="20"/>
        </w:rPr>
        <w:t>in latino</w:t>
      </w:r>
    </w:p>
    <w:p w14:paraId="54A8B968" w14:textId="38767021" w:rsidR="00C10627" w:rsidRPr="006A59C5" w:rsidRDefault="00C10627" w:rsidP="00C0082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A59C5">
        <w:rPr>
          <w:rFonts w:ascii="Verdana" w:hAnsi="Verdana"/>
          <w:b/>
          <w:bCs/>
          <w:sz w:val="20"/>
          <w:szCs w:val="20"/>
        </w:rPr>
        <w:t xml:space="preserve">       </w:t>
      </w:r>
      <w:r w:rsidR="00C0082F" w:rsidRPr="006A59C5">
        <w:rPr>
          <w:rFonts w:ascii="Verdana" w:hAnsi="Verdana"/>
          <w:b/>
          <w:bCs/>
          <w:sz w:val="20"/>
          <w:szCs w:val="20"/>
        </w:rPr>
        <w:t xml:space="preserve">   </w:t>
      </w:r>
      <w:r w:rsidRPr="006A59C5">
        <w:rPr>
          <w:rFonts w:ascii="Verdana" w:hAnsi="Verdana"/>
          <w:sz w:val="20"/>
          <w:szCs w:val="20"/>
        </w:rPr>
        <w:t xml:space="preserve">Giovenale, </w:t>
      </w:r>
      <w:r w:rsidRPr="006A59C5">
        <w:rPr>
          <w:rFonts w:ascii="Verdana" w:hAnsi="Verdana"/>
          <w:i/>
          <w:iCs/>
          <w:sz w:val="20"/>
          <w:szCs w:val="20"/>
        </w:rPr>
        <w:t>Satire 4</w:t>
      </w:r>
      <w:proofErr w:type="gramStart"/>
      <w:r w:rsidRPr="006A59C5">
        <w:rPr>
          <w:rFonts w:ascii="Verdana" w:hAnsi="Verdana"/>
          <w:i/>
          <w:iCs/>
          <w:sz w:val="20"/>
          <w:szCs w:val="20"/>
        </w:rPr>
        <w:t>,</w:t>
      </w:r>
      <w:r w:rsidRPr="006A59C5">
        <w:rPr>
          <w:rFonts w:ascii="Verdana" w:hAnsi="Verdana"/>
          <w:sz w:val="20"/>
          <w:szCs w:val="20"/>
        </w:rPr>
        <w:t>”Un</w:t>
      </w:r>
      <w:proofErr w:type="gramEnd"/>
      <w:r w:rsidRPr="006A59C5">
        <w:rPr>
          <w:rFonts w:ascii="Verdana" w:hAnsi="Verdana"/>
          <w:sz w:val="20"/>
          <w:szCs w:val="20"/>
        </w:rPr>
        <w:t xml:space="preserve"> rombo stupefacente e un grottesco consiglio della corona </w:t>
      </w:r>
      <w:r w:rsidRPr="006A59C5">
        <w:rPr>
          <w:rFonts w:ascii="Verdana" w:hAnsi="Verdana"/>
          <w:iCs/>
          <w:sz w:val="20"/>
          <w:szCs w:val="20"/>
        </w:rPr>
        <w:t xml:space="preserve">(materiale fornito </w:t>
      </w:r>
      <w:r w:rsidRPr="006A59C5">
        <w:rPr>
          <w:rFonts w:ascii="Verdana" w:hAnsi="Verdana"/>
          <w:iCs/>
          <w:sz w:val="20"/>
          <w:szCs w:val="20"/>
        </w:rPr>
        <w:tab/>
        <w:t xml:space="preserve">dalla </w:t>
      </w:r>
      <w:r w:rsidRPr="006A59C5">
        <w:rPr>
          <w:rFonts w:ascii="Verdana" w:hAnsi="Verdana"/>
          <w:iCs/>
          <w:sz w:val="20"/>
          <w:szCs w:val="20"/>
        </w:rPr>
        <w:tab/>
        <w:t>docente)</w:t>
      </w:r>
      <w:r w:rsidR="009559E1" w:rsidRPr="006A59C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67DDA5AB" w14:textId="77777777" w:rsidR="00C10627" w:rsidRPr="006A59C5" w:rsidRDefault="00C10627" w:rsidP="00C0082F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b/>
          <w:bCs/>
          <w:sz w:val="20"/>
          <w:szCs w:val="20"/>
        </w:rPr>
        <w:t>Traiano</w:t>
      </w:r>
    </w:p>
    <w:p w14:paraId="3D2977A0" w14:textId="4A86DDC6" w:rsidR="00B50D17" w:rsidRPr="006A59C5" w:rsidRDefault="00C0082F" w:rsidP="00C0082F">
      <w:pPr>
        <w:jc w:val="both"/>
        <w:rPr>
          <w:rFonts w:ascii="Verdana" w:hAnsi="Verdana"/>
          <w:sz w:val="20"/>
          <w:szCs w:val="20"/>
        </w:rPr>
      </w:pPr>
      <w:r w:rsidRPr="006A59C5">
        <w:rPr>
          <w:rFonts w:ascii="Verdana" w:hAnsi="Verdana"/>
          <w:sz w:val="20"/>
          <w:szCs w:val="20"/>
        </w:rPr>
        <w:tab/>
      </w:r>
      <w:r w:rsidR="00C10627" w:rsidRPr="006A59C5">
        <w:rPr>
          <w:rFonts w:ascii="Verdana" w:hAnsi="Verdana"/>
          <w:sz w:val="20"/>
          <w:szCs w:val="20"/>
        </w:rPr>
        <w:t xml:space="preserve">Plinio il Giovane, </w:t>
      </w:r>
      <w:proofErr w:type="spellStart"/>
      <w:r w:rsidR="00C10627" w:rsidRPr="006A59C5">
        <w:rPr>
          <w:rFonts w:ascii="Verdana" w:hAnsi="Verdana"/>
          <w:i/>
          <w:iCs/>
          <w:sz w:val="20"/>
          <w:szCs w:val="20"/>
        </w:rPr>
        <w:t>Panigirico</w:t>
      </w:r>
      <w:proofErr w:type="spellEnd"/>
      <w:r w:rsidR="00C10627" w:rsidRPr="006A59C5">
        <w:rPr>
          <w:rFonts w:ascii="Verdana" w:hAnsi="Verdana"/>
          <w:i/>
          <w:iCs/>
          <w:sz w:val="20"/>
          <w:szCs w:val="20"/>
        </w:rPr>
        <w:t xml:space="preserve"> a Traiano, 66, 2-5, </w:t>
      </w:r>
      <w:r w:rsidR="00C10627" w:rsidRPr="006A59C5">
        <w:rPr>
          <w:rFonts w:ascii="Verdana" w:hAnsi="Verdana"/>
          <w:sz w:val="20"/>
          <w:szCs w:val="20"/>
        </w:rPr>
        <w:t xml:space="preserve">“Traiano e l’’imposizione della </w:t>
      </w:r>
      <w:proofErr w:type="spellStart"/>
      <w:proofErr w:type="gramStart"/>
      <w:r w:rsidR="00C10627" w:rsidRPr="006A59C5">
        <w:rPr>
          <w:rFonts w:ascii="Verdana" w:hAnsi="Verdana"/>
          <w:sz w:val="20"/>
          <w:szCs w:val="20"/>
        </w:rPr>
        <w:t>libertà”p</w:t>
      </w:r>
      <w:proofErr w:type="spellEnd"/>
      <w:r w:rsidR="00C10627" w:rsidRPr="006A59C5">
        <w:rPr>
          <w:rFonts w:ascii="Verdana" w:hAnsi="Verdana"/>
          <w:sz w:val="20"/>
          <w:szCs w:val="20"/>
        </w:rPr>
        <w:t>.</w:t>
      </w:r>
      <w:proofErr w:type="gramEnd"/>
      <w:r w:rsidR="00C10627" w:rsidRPr="006A59C5">
        <w:rPr>
          <w:rFonts w:ascii="Verdana" w:hAnsi="Verdana"/>
          <w:sz w:val="20"/>
          <w:szCs w:val="20"/>
        </w:rPr>
        <w:t xml:space="preserve"> 328</w:t>
      </w:r>
    </w:p>
    <w:p w14:paraId="52F4776B" w14:textId="77777777" w:rsidR="00C0082F" w:rsidRDefault="00C0082F" w:rsidP="00C0082F">
      <w:pPr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10DE7182" w14:textId="77777777" w:rsidR="00C0082F" w:rsidRDefault="00B50D17" w:rsidP="00C0082F">
      <w:pPr>
        <w:jc w:val="both"/>
        <w:rPr>
          <w:rFonts w:ascii="Verdana" w:hAnsi="Verdana"/>
          <w:i/>
          <w:iCs/>
        </w:rPr>
      </w:pPr>
      <w:r w:rsidRPr="00B11AD2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lastRenderedPageBreak/>
        <w:t>Modulo 2</w:t>
      </w:r>
      <w:r w:rsid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Pr="00B11AD2">
        <w:rPr>
          <w:rFonts w:ascii="Verdana" w:hAnsi="Verdana"/>
          <w:i/>
          <w:iCs/>
        </w:rPr>
        <w:t>IL REALISMO (ROMANZO, SATIRA, EPIGRAMMA)</w:t>
      </w:r>
    </w:p>
    <w:p w14:paraId="41AF74D3" w14:textId="0A147465" w:rsidR="00B50D17" w:rsidRPr="00C0082F" w:rsidRDefault="00B50D17" w:rsidP="00C0082F">
      <w:pPr>
        <w:jc w:val="both"/>
        <w:rPr>
          <w:rFonts w:ascii="Verdana" w:hAnsi="Verdana"/>
          <w:i/>
          <w:iCs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Petronio,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Dal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Satyricon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: </w:t>
      </w:r>
    </w:p>
    <w:p w14:paraId="032188A4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Trimalchione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entra in scena, p. 169</w:t>
      </w:r>
    </w:p>
    <w:p w14:paraId="3883A1B8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>La presentazione dei padroni di casa, 37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in latino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(38, 1-5 in italiano), p. 171</w:t>
      </w:r>
    </w:p>
    <w:p w14:paraId="2CDFD4C8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Il testamento di </w:t>
      </w: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Trimalchione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p. 176</w:t>
      </w:r>
    </w:p>
    <w:p w14:paraId="21F2CB55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>Il fantoccio di paglia (le streghe), p.184</w:t>
      </w:r>
    </w:p>
    <w:p w14:paraId="7A6F4B13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>La matrona di Efeso, p. 184</w:t>
      </w:r>
    </w:p>
    <w:p w14:paraId="1AA017E2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Critica: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Limiti del realismo petroniano,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E. </w:t>
      </w: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Auerbach</w:t>
      </w:r>
      <w:proofErr w:type="spellEnd"/>
    </w:p>
    <w:p w14:paraId="0AC0F5DF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A52B67" w14:textId="33E54C93" w:rsidR="00B50D17" w:rsidRPr="00B11AD2" w:rsidRDefault="00B50D17" w:rsidP="00C0082F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Marziale,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Epigrammata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</w:p>
    <w:p w14:paraId="067EDB86" w14:textId="77777777" w:rsidR="00B50D17" w:rsidRPr="00B11AD2" w:rsidRDefault="00B50D17" w:rsidP="00C0082F">
      <w:pPr>
        <w:spacing w:after="0" w:line="240" w:lineRule="auto"/>
        <w:outlineLvl w:val="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Una poesia che “sa di uomo”, X, 4, p. 239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</w:p>
    <w:p w14:paraId="4BB853A2" w14:textId="77777777" w:rsidR="00B50D17" w:rsidRPr="00B11AD2" w:rsidRDefault="00582E8E" w:rsidP="00C0082F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</w:t>
      </w:r>
      <w:r w:rsidR="00B50D17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trasloco di </w:t>
      </w:r>
      <w:proofErr w:type="spellStart"/>
      <w:r w:rsidR="00B50D17" w:rsidRPr="00B11AD2">
        <w:rPr>
          <w:rFonts w:ascii="Verdana" w:eastAsia="Times New Roman" w:hAnsi="Verdana" w:cs="Times New Roman"/>
          <w:sz w:val="20"/>
          <w:szCs w:val="20"/>
          <w:lang w:eastAsia="it-IT"/>
        </w:rPr>
        <w:t>Vacerra</w:t>
      </w:r>
      <w:proofErr w:type="spellEnd"/>
      <w:r w:rsidR="00B50D17"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XII, 32, P. 244</w:t>
      </w:r>
    </w:p>
    <w:p w14:paraId="796D5147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>Matrimoni di interesse, I, 10; X, 8; X, 43, P. 248</w:t>
      </w:r>
    </w:p>
    <w:p w14:paraId="71D4126B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La bellezza di </w:t>
      </w: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Bilbili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XII, 18, p. 253</w:t>
      </w:r>
    </w:p>
    <w:p w14:paraId="6FD37600" w14:textId="7777777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E62C3D4" w14:textId="5E781147" w:rsidR="00B50D17" w:rsidRPr="00B11AD2" w:rsidRDefault="00B50D17" w:rsidP="00C0082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Persio</w:t>
      </w:r>
      <w:r w:rsidR="006D26A2"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, </w:t>
      </w:r>
      <w:r w:rsidR="006D26A2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dalle </w:t>
      </w:r>
      <w:proofErr w:type="spellStart"/>
      <w:r w:rsidR="006D26A2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Satirae</w:t>
      </w:r>
      <w:proofErr w:type="spellEnd"/>
      <w:r w:rsidR="006D26A2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:</w:t>
      </w:r>
    </w:p>
    <w:p w14:paraId="4DFF7029" w14:textId="77777777" w:rsidR="006D26A2" w:rsidRPr="00B11AD2" w:rsidRDefault="006D26A2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    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satira: un genere controcorrente, p. 144</w:t>
      </w:r>
    </w:p>
    <w:p w14:paraId="5B7EAE0F" w14:textId="77777777" w:rsidR="006D26A2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</w:t>
      </w:r>
      <w:r w:rsidR="006D26A2"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drammatica fine di un crapulone, p. 147</w:t>
      </w:r>
    </w:p>
    <w:p w14:paraId="25E85522" w14:textId="77777777" w:rsidR="006D26A2" w:rsidRPr="00B11AD2" w:rsidRDefault="006D26A2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5D16D177" w14:textId="1D71DF9C" w:rsidR="006D26A2" w:rsidRPr="00B11AD2" w:rsidRDefault="006D26A2" w:rsidP="00C0082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Giovenale</w:t>
      </w:r>
      <w:r w:rsidR="00582E8E"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,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dalle </w:t>
      </w:r>
      <w:proofErr w:type="spellStart"/>
      <w:r w:rsidR="00582E8E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Satirae</w:t>
      </w:r>
      <w:proofErr w:type="spellEnd"/>
      <w:r w:rsidR="00582E8E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:</w:t>
      </w:r>
    </w:p>
    <w:p w14:paraId="4F6EB372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Chi è povero vive meglio in provincia,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Sat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.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III p. 319</w:t>
      </w:r>
    </w:p>
    <w:p w14:paraId="64E707DC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Contro le donne, dalla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Sat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. VI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p.324</w:t>
      </w:r>
    </w:p>
    <w:p w14:paraId="63E31675" w14:textId="77777777" w:rsidR="00C0082F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>Scheda di letteratura: La figura del cliente in Giovenale e Marziale</w:t>
      </w:r>
    </w:p>
    <w:p w14:paraId="781CCBE9" w14:textId="77777777" w:rsidR="00C0082F" w:rsidRDefault="00C0082F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9B37285" w14:textId="19E16CEF" w:rsidR="00582E8E" w:rsidRPr="00C0082F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Apuleio,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Metamorfosi</w:t>
      </w:r>
      <w:r w:rsidR="00C15409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testi da pp. 454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043D347B" w14:textId="77777777" w:rsidR="00582E8E" w:rsidRPr="00B11AD2" w:rsidRDefault="00582E8E" w:rsidP="00C0082F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Le avventure di Lucio: </w:t>
      </w:r>
    </w:p>
    <w:p w14:paraId="3B131632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Il proemio e l’inizio della narrazione</w:t>
      </w:r>
    </w:p>
    <w:p w14:paraId="664748E3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Lucio diventa asino,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</w:p>
    <w:p w14:paraId="57C42CAB" w14:textId="77777777" w:rsidR="00582E8E" w:rsidRPr="00B11AD2" w:rsidRDefault="00C15409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preghiera ad Iside</w:t>
      </w:r>
    </w:p>
    <w:p w14:paraId="1BF26DCC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Il ritorno alla forma umana e il significato delle vicende di Lucio</w:t>
      </w:r>
    </w:p>
    <w:p w14:paraId="3E6ADE23" w14:textId="77777777" w:rsidR="00582E8E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Scheda di Cultura. La magia nella letteratura latina</w:t>
      </w:r>
    </w:p>
    <w:p w14:paraId="24D8B2F1" w14:textId="77777777" w:rsidR="00C15409" w:rsidRPr="00B11AD2" w:rsidRDefault="00582E8E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Scheda di Cultura. La dea Iside e il suo cul</w:t>
      </w:r>
      <w:r w:rsidR="00C15409" w:rsidRPr="00B11AD2">
        <w:rPr>
          <w:rFonts w:ascii="Verdana" w:eastAsia="Times New Roman" w:hAnsi="Verdana" w:cs="Times New Roman"/>
          <w:sz w:val="20"/>
          <w:szCs w:val="20"/>
          <w:lang w:eastAsia="it-IT"/>
        </w:rPr>
        <w:t>to</w:t>
      </w:r>
    </w:p>
    <w:p w14:paraId="2855934E" w14:textId="77777777" w:rsidR="00C15409" w:rsidRPr="00B11AD2" w:rsidRDefault="00C15409" w:rsidP="00C0082F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fabula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di Amore e Psiche</w:t>
      </w:r>
    </w:p>
    <w:p w14:paraId="7600E34F" w14:textId="77777777" w:rsidR="00582E8E" w:rsidRPr="00B11AD2" w:rsidRDefault="00C15409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>Psiche, fanciulla bellissima e fiabesca</w:t>
      </w:r>
    </w:p>
    <w:p w14:paraId="1B1D54F3" w14:textId="77777777" w:rsidR="00582E8E" w:rsidRPr="00B11AD2" w:rsidRDefault="00C15409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tras</w:t>
      </w:r>
      <w:bookmarkStart w:id="0" w:name="_GoBack"/>
      <w:bookmarkEnd w:id="0"/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>gressione di Psiche</w:t>
      </w:r>
    </w:p>
    <w:p w14:paraId="4F509C82" w14:textId="77777777" w:rsidR="00582E8E" w:rsidRPr="00B11AD2" w:rsidRDefault="00C15409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Psiche è salvata da Amore</w:t>
      </w:r>
    </w:p>
    <w:p w14:paraId="629103D6" w14:textId="77777777" w:rsidR="00582E8E" w:rsidRPr="00B11AD2" w:rsidRDefault="00C15409" w:rsidP="00C0082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conclusione della </w:t>
      </w:r>
      <w:proofErr w:type="spellStart"/>
      <w:r w:rsidR="00582E8E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fabella</w:t>
      </w:r>
      <w:proofErr w:type="spellEnd"/>
    </w:p>
    <w:p w14:paraId="1D757F76" w14:textId="77777777" w:rsidR="00C0082F" w:rsidRDefault="00C15409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</w:t>
      </w:r>
      <w:r w:rsidR="00582E8E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prima prova imposta da Venere a Psiche</w:t>
      </w:r>
    </w:p>
    <w:p w14:paraId="1AF518A6" w14:textId="77777777" w:rsidR="00C0082F" w:rsidRDefault="00C0082F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2E22096" w14:textId="3FA79467" w:rsidR="00BF598F" w:rsidRDefault="00BF598F" w:rsidP="00C0082F">
      <w:pPr>
        <w:spacing w:after="0" w:line="240" w:lineRule="auto"/>
        <w:rPr>
          <w:rFonts w:ascii="Verdana" w:hAnsi="Verdana"/>
          <w:i/>
          <w:iCs/>
        </w:rPr>
      </w:pPr>
      <w:r w:rsidRPr="00B11AD2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Modulo 3</w:t>
      </w:r>
      <w:r w:rsid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="00B11AD2">
        <w:rPr>
          <w:rFonts w:ascii="Verdana" w:hAnsi="Verdana"/>
          <w:i/>
          <w:iCs/>
        </w:rPr>
        <w:t>IL DIVERSO, L’ALTRO</w:t>
      </w:r>
    </w:p>
    <w:p w14:paraId="47BF5AFE" w14:textId="77777777" w:rsidR="00C0082F" w:rsidRPr="00C0082F" w:rsidRDefault="00C0082F" w:rsidP="00C008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808E4F9" w14:textId="4A49BE40" w:rsidR="00BF598F" w:rsidRPr="00B11AD2" w:rsidRDefault="00BF598F" w:rsidP="00C0082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Seneca. Gli schiavi.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Da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Epistulae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ad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Lucilium</w:t>
      </w:r>
      <w:proofErr w:type="spellEnd"/>
    </w:p>
    <w:p w14:paraId="04C233B1" w14:textId="77777777" w:rsidR="006A59C5" w:rsidRDefault="00BF598F" w:rsidP="00B11AD2">
      <w:pPr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Ep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47, Gli schiavi, 47, 1-4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; (10-11, in italiano), p. 104</w:t>
      </w:r>
    </w:p>
    <w:p w14:paraId="07475908" w14:textId="2945C92C" w:rsidR="00BF598F" w:rsidRPr="00B11AD2" w:rsidRDefault="00BF598F" w:rsidP="00B11AD2">
      <w:pPr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Ep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. 95, 51-53, Il dovere della solidarietà, p. 102</w:t>
      </w:r>
    </w:p>
    <w:p w14:paraId="572F2FB1" w14:textId="77777777" w:rsidR="00BF598F" w:rsidRPr="00B11AD2" w:rsidRDefault="00BF598F" w:rsidP="00C0082F">
      <w:pPr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Tacito. I cristiani; i Germani</w:t>
      </w:r>
    </w:p>
    <w:p w14:paraId="48458473" w14:textId="18B3F1A3" w:rsidR="00BF598F" w:rsidRPr="00B11AD2" w:rsidRDefault="00BF598F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Annales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6A59C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XV, 38-39,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L’incendio di Roma, p. 398</w:t>
      </w:r>
    </w:p>
    <w:p w14:paraId="2DF6FFE1" w14:textId="77777777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Annales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XV, 44, 2-5, La persecuzione dei cristiani, p. 399</w:t>
      </w:r>
    </w:p>
    <w:p w14:paraId="77C314E1" w14:textId="77777777" w:rsidR="00BF598F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Scheda di </w:t>
      </w:r>
      <w:r w:rsidR="00BF598F" w:rsidRPr="00B11AD2">
        <w:rPr>
          <w:rFonts w:ascii="Verdana" w:eastAsia="Times New Roman" w:hAnsi="Verdana" w:cs="Times New Roman"/>
          <w:sz w:val="20"/>
          <w:szCs w:val="20"/>
          <w:lang w:eastAsia="it-IT"/>
        </w:rPr>
        <w:t>Cultura. I cristiani dal punto di vista dei pagani</w:t>
      </w:r>
    </w:p>
    <w:p w14:paraId="1204FA25" w14:textId="77777777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Germania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4, Purezza razziale e aspetto fisico dei Germani, p. 365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</w:p>
    <w:p w14:paraId="63FD2166" w14:textId="77777777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Scheda di Storia. Hitler e il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Codex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Aesinas</w:t>
      </w:r>
      <w:proofErr w:type="spellEnd"/>
    </w:p>
    <w:p w14:paraId="00F73C98" w14:textId="68653D5A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Germania ,</w:t>
      </w:r>
      <w:r w:rsidR="006A59C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5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Le risorse naturali e il denaro, p. 368</w:t>
      </w:r>
    </w:p>
    <w:p w14:paraId="27DC5455" w14:textId="77777777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Germania,19 La fedeltà coniugale, p. 371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</w:p>
    <w:p w14:paraId="23798FAC" w14:textId="77777777" w:rsidR="00C0082F" w:rsidRDefault="00DB19F8" w:rsidP="00C0082F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Agricola,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30-31, Il punto di vista dei nemici, Il discorso di </w:t>
      </w:r>
      <w:proofErr w:type="spellStart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Càlgaco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p. 373</w:t>
      </w:r>
    </w:p>
    <w:p w14:paraId="73704E21" w14:textId="77777777" w:rsidR="00C0082F" w:rsidRDefault="00C0082F" w:rsidP="00C008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06EAF55" w14:textId="09896CE4" w:rsidR="00DB19F8" w:rsidRPr="00B11AD2" w:rsidRDefault="00DB19F8" w:rsidP="00C008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lastRenderedPageBreak/>
        <w:t>Plinio il Giovane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 cristiani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3148FCD6" w14:textId="77777777" w:rsidR="00DB19F8" w:rsidRPr="00B11AD2" w:rsidRDefault="00DB19F8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   </w:t>
      </w:r>
      <w:r w:rsidR="00043AF9"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Epistulae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X, 96; 97. Uno scambio di pareri sulla questione dei cristiani, p.333</w:t>
      </w:r>
    </w:p>
    <w:p w14:paraId="581876FB" w14:textId="77777777" w:rsidR="00043AF9" w:rsidRPr="00B11AD2" w:rsidRDefault="00043AF9" w:rsidP="00B11AD2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</w:t>
      </w:r>
    </w:p>
    <w:p w14:paraId="7B31CCB4" w14:textId="271424DF" w:rsidR="006A59C5" w:rsidRDefault="006A59C5" w:rsidP="006A59C5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Percorso tematico, </w:t>
      </w:r>
      <w:r w:rsidR="00043AF9" w:rsidRPr="00B11AD2">
        <w:rPr>
          <w:rFonts w:ascii="Verdana" w:eastAsia="Times New Roman" w:hAnsi="Verdana" w:cs="Times New Roman"/>
          <w:sz w:val="20"/>
          <w:szCs w:val="20"/>
          <w:lang w:eastAsia="it-IT"/>
        </w:rPr>
        <w:t>Noi e l’”altro”, p. 407</w:t>
      </w:r>
    </w:p>
    <w:p w14:paraId="185FE509" w14:textId="77777777" w:rsidR="006A59C5" w:rsidRDefault="006A59C5" w:rsidP="006A59C5">
      <w:pPr>
        <w:spacing w:after="0" w:line="240" w:lineRule="auto"/>
        <w:ind w:left="34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CB7862C" w14:textId="40870F39" w:rsidR="006F0B7F" w:rsidRPr="006A59C5" w:rsidRDefault="006F0B7F" w:rsidP="006A59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Modulo 4</w:t>
      </w:r>
      <w:r w:rsid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Pr="00B11AD2">
        <w:rPr>
          <w:rFonts w:ascii="Verdana" w:hAnsi="Verdana"/>
          <w:i/>
          <w:iCs/>
        </w:rPr>
        <w:t>LA RIFLESSIONE SUL TEMPO</w:t>
      </w:r>
    </w:p>
    <w:p w14:paraId="6656A60C" w14:textId="77777777" w:rsidR="006A59C5" w:rsidRDefault="006F0B7F" w:rsidP="00B11AD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</w:t>
      </w:r>
    </w:p>
    <w:p w14:paraId="67A30991" w14:textId="4B75909D" w:rsidR="006F0B7F" w:rsidRPr="00B11AD2" w:rsidRDefault="006F0B7F" w:rsidP="006A59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Seneca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74B2F9BB" w14:textId="77777777" w:rsidR="006F0B7F" w:rsidRPr="00B11AD2" w:rsidRDefault="006F0B7F" w:rsidP="00B11AD2">
      <w:pPr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De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brevitate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vitae,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12,13, La galleria degli </w:t>
      </w:r>
      <w:proofErr w:type="spellStart"/>
      <w:proofErr w:type="gram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occupati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,p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proofErr w:type="gram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71 </w:t>
      </w:r>
    </w:p>
    <w:p w14:paraId="11237705" w14:textId="77777777" w:rsidR="006F0B7F" w:rsidRPr="00B11AD2" w:rsidRDefault="006F0B7F" w:rsidP="00B11AD2">
      <w:pPr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Epistulae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ad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Lucilium</w:t>
      </w:r>
      <w:proofErr w:type="spellEnd"/>
      <w:r w:rsidR="00043AF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1,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Riappropriarsi di sé e del proprio tempo, </w:t>
      </w:r>
      <w:r w:rsidR="00043AF9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p. 78, </w:t>
      </w: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>in latino</w:t>
      </w:r>
    </w:p>
    <w:p w14:paraId="1899A681" w14:textId="77777777" w:rsidR="00043AF9" w:rsidRPr="00B11AD2" w:rsidRDefault="00043AF9" w:rsidP="00B11AD2">
      <w:pPr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Epistulae</w:t>
      </w:r>
      <w:proofErr w:type="spellEnd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ad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Lucilium</w:t>
      </w:r>
      <w:proofErr w:type="spellEnd"/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, 12, 1-5, La visita di un podere suburbano, p. 83</w:t>
      </w:r>
    </w:p>
    <w:p w14:paraId="5995525E" w14:textId="77777777" w:rsidR="00043AF9" w:rsidRPr="00B11AD2" w:rsidRDefault="00043AF9" w:rsidP="00B11AD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</w:p>
    <w:p w14:paraId="5085C022" w14:textId="77777777" w:rsidR="00043AF9" w:rsidRPr="00B11AD2" w:rsidRDefault="00043AF9" w:rsidP="00B11AD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Echi nel tempo: La riflessione filosofica sul tempo</w:t>
      </w:r>
    </w:p>
    <w:p w14:paraId="70887ECB" w14:textId="77777777" w:rsidR="006A59C5" w:rsidRDefault="00043AF9" w:rsidP="00B11AD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</w:p>
    <w:p w14:paraId="5074488D" w14:textId="3F751E78" w:rsidR="00043AF9" w:rsidRPr="006A59C5" w:rsidRDefault="00043AF9" w:rsidP="006A59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Agostino, 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dalle </w:t>
      </w:r>
      <w:proofErr w:type="spellStart"/>
      <w:r w:rsidRPr="00B11AD2">
        <w:rPr>
          <w:rFonts w:ascii="Verdana" w:eastAsia="Times New Roman" w:hAnsi="Verdana" w:cs="Times New Roman"/>
          <w:i/>
          <w:sz w:val="20"/>
          <w:szCs w:val="20"/>
          <w:lang w:eastAsia="it-IT"/>
        </w:rPr>
        <w:t>Confessiones</w:t>
      </w:r>
      <w:proofErr w:type="spellEnd"/>
    </w:p>
    <w:p w14:paraId="1810362C" w14:textId="74480F92" w:rsidR="00043AF9" w:rsidRPr="00B11AD2" w:rsidRDefault="00043AF9" w:rsidP="006A59C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Il furto delle pere, p. 544</w:t>
      </w:r>
    </w:p>
    <w:p w14:paraId="40FAED82" w14:textId="0B8A4E07" w:rsidR="00043AF9" w:rsidRPr="00B11AD2" w:rsidRDefault="00043AF9" w:rsidP="006A59C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conversione, p. 548</w:t>
      </w:r>
    </w:p>
    <w:p w14:paraId="75765E8D" w14:textId="53E00AEE" w:rsidR="00043AF9" w:rsidRPr="00B11AD2" w:rsidRDefault="00043AF9" w:rsidP="006A59C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Il tempo è inafferrabile, p. 551</w:t>
      </w:r>
    </w:p>
    <w:p w14:paraId="59164E9E" w14:textId="551022A1" w:rsidR="00043AF9" w:rsidRPr="00B11AD2" w:rsidRDefault="00043AF9" w:rsidP="006A59C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La misurazione del tempo avviene nell’anima, p. 555</w:t>
      </w:r>
    </w:p>
    <w:p w14:paraId="47D2E5EE" w14:textId="77777777" w:rsidR="00043AF9" w:rsidRPr="00B11AD2" w:rsidRDefault="00043AF9" w:rsidP="00043A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</w:p>
    <w:p w14:paraId="00CBAFD6" w14:textId="77777777" w:rsidR="00043AF9" w:rsidRPr="00B11AD2" w:rsidRDefault="00043AF9" w:rsidP="00043A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</w:t>
      </w:r>
    </w:p>
    <w:p w14:paraId="21254616" w14:textId="77777777" w:rsidR="006F0B7F" w:rsidRPr="00B11AD2" w:rsidRDefault="006F0B7F" w:rsidP="006F0B7F">
      <w:pPr>
        <w:ind w:left="360"/>
        <w:jc w:val="both"/>
        <w:rPr>
          <w:rFonts w:ascii="Verdana" w:hAnsi="Verdana"/>
          <w:i/>
          <w:iCs/>
        </w:rPr>
      </w:pPr>
    </w:p>
    <w:p w14:paraId="2DFE8D51" w14:textId="77777777" w:rsidR="006F0B7F" w:rsidRPr="00B11AD2" w:rsidRDefault="006F0B7F" w:rsidP="00DB19F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801ACE" w14:textId="77777777" w:rsidR="00DB19F8" w:rsidRPr="00B11AD2" w:rsidRDefault="00DB19F8" w:rsidP="00DB19F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2911FC5" w14:textId="77777777" w:rsidR="00DB19F8" w:rsidRPr="00B11AD2" w:rsidRDefault="00DB19F8" w:rsidP="00DB19F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7CC355" w14:textId="77777777" w:rsidR="00DB19F8" w:rsidRPr="00B11AD2" w:rsidRDefault="00DB19F8" w:rsidP="00BF59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15E98A6" w14:textId="77777777" w:rsidR="00D10369" w:rsidRPr="00B11AD2" w:rsidRDefault="00DB19F8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</w:p>
    <w:p w14:paraId="55131369" w14:textId="77777777" w:rsidR="00D7131D" w:rsidRPr="00B11AD2" w:rsidRDefault="00D103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>Roma, 15-5-20</w:t>
      </w:r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21</w:t>
      </w: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La prof.</w:t>
      </w:r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ssa Claudia </w:t>
      </w:r>
      <w:proofErr w:type="spellStart"/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Tesei</w:t>
      </w:r>
      <w:proofErr w:type="spellEnd"/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……………………………………………….</w:t>
      </w:r>
    </w:p>
    <w:p w14:paraId="57DC8DC4" w14:textId="77777777" w:rsidR="00D7131D" w:rsidRPr="00B11AD2" w:rsidRDefault="00D7131D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3378440" w14:textId="77777777" w:rsidR="00D7131D" w:rsidRPr="00B11AD2" w:rsidRDefault="00D7131D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Gli studenti</w:t>
      </w:r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</w:t>
      </w:r>
      <w:proofErr w:type="gramStart"/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="00EF4B86" w:rsidRPr="00B11AD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43D9623E" w14:textId="77777777" w:rsidR="004F6C5B" w:rsidRPr="00B11AD2" w:rsidRDefault="004F6C5B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59AB9F2" w14:textId="77777777" w:rsidR="004F6C5B" w:rsidRPr="00B11AD2" w:rsidRDefault="004F6C5B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</w:t>
      </w:r>
    </w:p>
    <w:p w14:paraId="1BDC2F17" w14:textId="77777777" w:rsidR="00D10369" w:rsidRPr="00B11AD2" w:rsidRDefault="00D103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9074558" w14:textId="77777777" w:rsidR="00D10369" w:rsidRPr="00B11AD2" w:rsidRDefault="00D103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6FC1F74" w14:textId="77777777" w:rsidR="00D10369" w:rsidRPr="00B11AD2" w:rsidRDefault="00D10369" w:rsidP="00F5046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11AD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</w:t>
      </w:r>
    </w:p>
    <w:p w14:paraId="214F80DB" w14:textId="77777777" w:rsidR="00F50469" w:rsidRPr="00B11AD2" w:rsidRDefault="00F50469" w:rsidP="00F50469">
      <w:pPr>
        <w:jc w:val="both"/>
        <w:rPr>
          <w:rFonts w:ascii="Verdana" w:hAnsi="Verdana" w:cs="Times New Roman"/>
          <w:sz w:val="20"/>
          <w:szCs w:val="20"/>
        </w:rPr>
      </w:pPr>
    </w:p>
    <w:p w14:paraId="020F11A0" w14:textId="77777777" w:rsidR="00F50469" w:rsidRPr="00B11AD2" w:rsidRDefault="00F50469" w:rsidP="00F50469">
      <w:pPr>
        <w:jc w:val="both"/>
        <w:rPr>
          <w:rFonts w:ascii="Verdana" w:hAnsi="Verdana" w:cs="Times New Roman"/>
          <w:sz w:val="24"/>
          <w:szCs w:val="24"/>
        </w:rPr>
      </w:pPr>
    </w:p>
    <w:p w14:paraId="1723E638" w14:textId="77777777" w:rsidR="00856CC5" w:rsidRPr="00B11AD2" w:rsidRDefault="00856CC5">
      <w:pPr>
        <w:rPr>
          <w:rFonts w:ascii="Verdana" w:hAnsi="Verdana"/>
          <w:sz w:val="24"/>
          <w:szCs w:val="24"/>
        </w:rPr>
      </w:pPr>
    </w:p>
    <w:sectPr w:rsidR="00856CC5" w:rsidRPr="00B11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C9D"/>
    <w:multiLevelType w:val="hybridMultilevel"/>
    <w:tmpl w:val="6D969B4C"/>
    <w:lvl w:ilvl="0" w:tplc="04100019">
      <w:start w:val="1"/>
      <w:numFmt w:val="lowerLetter"/>
      <w:lvlText w:val="%1."/>
      <w:lvlJc w:val="left"/>
      <w:pPr>
        <w:ind w:left="1178" w:hanging="360"/>
      </w:pPr>
    </w:lvl>
    <w:lvl w:ilvl="1" w:tplc="04100019" w:tentative="1">
      <w:start w:val="1"/>
      <w:numFmt w:val="lowerLetter"/>
      <w:lvlText w:val="%2."/>
      <w:lvlJc w:val="left"/>
      <w:pPr>
        <w:ind w:left="1898" w:hanging="360"/>
      </w:pPr>
    </w:lvl>
    <w:lvl w:ilvl="2" w:tplc="0410001B" w:tentative="1">
      <w:start w:val="1"/>
      <w:numFmt w:val="lowerRoman"/>
      <w:lvlText w:val="%3."/>
      <w:lvlJc w:val="right"/>
      <w:pPr>
        <w:ind w:left="2618" w:hanging="180"/>
      </w:pPr>
    </w:lvl>
    <w:lvl w:ilvl="3" w:tplc="0410000F" w:tentative="1">
      <w:start w:val="1"/>
      <w:numFmt w:val="decimal"/>
      <w:lvlText w:val="%4."/>
      <w:lvlJc w:val="left"/>
      <w:pPr>
        <w:ind w:left="3338" w:hanging="360"/>
      </w:pPr>
    </w:lvl>
    <w:lvl w:ilvl="4" w:tplc="04100019" w:tentative="1">
      <w:start w:val="1"/>
      <w:numFmt w:val="lowerLetter"/>
      <w:lvlText w:val="%5."/>
      <w:lvlJc w:val="left"/>
      <w:pPr>
        <w:ind w:left="4058" w:hanging="360"/>
      </w:pPr>
    </w:lvl>
    <w:lvl w:ilvl="5" w:tplc="0410001B" w:tentative="1">
      <w:start w:val="1"/>
      <w:numFmt w:val="lowerRoman"/>
      <w:lvlText w:val="%6."/>
      <w:lvlJc w:val="right"/>
      <w:pPr>
        <w:ind w:left="4778" w:hanging="180"/>
      </w:pPr>
    </w:lvl>
    <w:lvl w:ilvl="6" w:tplc="0410000F" w:tentative="1">
      <w:start w:val="1"/>
      <w:numFmt w:val="decimal"/>
      <w:lvlText w:val="%7."/>
      <w:lvlJc w:val="left"/>
      <w:pPr>
        <w:ind w:left="5498" w:hanging="360"/>
      </w:pPr>
    </w:lvl>
    <w:lvl w:ilvl="7" w:tplc="04100019" w:tentative="1">
      <w:start w:val="1"/>
      <w:numFmt w:val="lowerLetter"/>
      <w:lvlText w:val="%8."/>
      <w:lvlJc w:val="left"/>
      <w:pPr>
        <w:ind w:left="6218" w:hanging="360"/>
      </w:pPr>
    </w:lvl>
    <w:lvl w:ilvl="8" w:tplc="0410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0356375D"/>
    <w:multiLevelType w:val="hybridMultilevel"/>
    <w:tmpl w:val="7076D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BE4"/>
    <w:multiLevelType w:val="hybridMultilevel"/>
    <w:tmpl w:val="482E8BA8"/>
    <w:lvl w:ilvl="0" w:tplc="AC5A832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F11B1"/>
    <w:multiLevelType w:val="hybridMultilevel"/>
    <w:tmpl w:val="7FF207C4"/>
    <w:lvl w:ilvl="0" w:tplc="AC5A832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C1907"/>
    <w:multiLevelType w:val="hybridMultilevel"/>
    <w:tmpl w:val="555298A6"/>
    <w:lvl w:ilvl="0" w:tplc="AC5A83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69"/>
    <w:rsid w:val="00043AF9"/>
    <w:rsid w:val="00094CFE"/>
    <w:rsid w:val="000E58C9"/>
    <w:rsid w:val="001F30CA"/>
    <w:rsid w:val="00206716"/>
    <w:rsid w:val="002B452A"/>
    <w:rsid w:val="00464632"/>
    <w:rsid w:val="00484746"/>
    <w:rsid w:val="004F6C5B"/>
    <w:rsid w:val="00582E8E"/>
    <w:rsid w:val="006311CC"/>
    <w:rsid w:val="006A59C5"/>
    <w:rsid w:val="006D26A2"/>
    <w:rsid w:val="006F0B7F"/>
    <w:rsid w:val="0079594D"/>
    <w:rsid w:val="00820F6B"/>
    <w:rsid w:val="00840DBF"/>
    <w:rsid w:val="00856CC5"/>
    <w:rsid w:val="008C6D97"/>
    <w:rsid w:val="00931C8C"/>
    <w:rsid w:val="009559E1"/>
    <w:rsid w:val="00A11899"/>
    <w:rsid w:val="00B10E02"/>
    <w:rsid w:val="00B11AD2"/>
    <w:rsid w:val="00B329BA"/>
    <w:rsid w:val="00B50D17"/>
    <w:rsid w:val="00B81BF4"/>
    <w:rsid w:val="00BF598F"/>
    <w:rsid w:val="00C0082F"/>
    <w:rsid w:val="00C10627"/>
    <w:rsid w:val="00C15409"/>
    <w:rsid w:val="00C5118A"/>
    <w:rsid w:val="00CA377F"/>
    <w:rsid w:val="00CA4B82"/>
    <w:rsid w:val="00CE096E"/>
    <w:rsid w:val="00D0176C"/>
    <w:rsid w:val="00D10369"/>
    <w:rsid w:val="00D27C8A"/>
    <w:rsid w:val="00D7131D"/>
    <w:rsid w:val="00DB19F8"/>
    <w:rsid w:val="00E11404"/>
    <w:rsid w:val="00E1244C"/>
    <w:rsid w:val="00E82A95"/>
    <w:rsid w:val="00EF4B86"/>
    <w:rsid w:val="00F160FC"/>
    <w:rsid w:val="00F403DE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024E"/>
  <w15:chartTrackingRefBased/>
  <w15:docId w15:val="{ACC0A10C-5B54-4F63-95A6-C3647BB0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5046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9E1"/>
    <w:pPr>
      <w:spacing w:line="259" w:lineRule="auto"/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11A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11A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747</Words>
  <Characters>4261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Utente di Microsoft Office</cp:lastModifiedBy>
  <cp:revision>3</cp:revision>
  <dcterms:created xsi:type="dcterms:W3CDTF">2021-04-29T17:10:00Z</dcterms:created>
  <dcterms:modified xsi:type="dcterms:W3CDTF">2021-05-20T11:49:00Z</dcterms:modified>
</cp:coreProperties>
</file>